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691" w:rsidRPr="00A34691" w:rsidRDefault="00A34691" w:rsidP="00A34691">
      <w:pPr>
        <w:suppressAutoHyphens/>
        <w:jc w:val="both"/>
        <w:rPr>
          <w:rFonts w:ascii="Garamond" w:hAnsi="Garamond"/>
          <w:sz w:val="22"/>
          <w:szCs w:val="22"/>
        </w:rPr>
      </w:pPr>
      <w:r w:rsidRPr="00A34691">
        <w:rPr>
          <w:rFonts w:ascii="Garamond" w:hAnsi="Garamond"/>
          <w:b/>
          <w:bCs/>
          <w:sz w:val="22"/>
          <w:szCs w:val="22"/>
        </w:rPr>
        <w:t xml:space="preserve">Soko PHAY </w:t>
      </w:r>
      <w:r w:rsidRPr="00A34691">
        <w:rPr>
          <w:rFonts w:ascii="Garamond" w:hAnsi="Garamond"/>
          <w:sz w:val="22"/>
          <w:szCs w:val="22"/>
        </w:rPr>
        <w:t>est Professeure en histoire et théorie de l’art contemporain à l’Université Paris 8 et au Nouveau collège d’</w:t>
      </w:r>
      <w:proofErr w:type="spellStart"/>
      <w:r w:rsidRPr="00A34691">
        <w:rPr>
          <w:rFonts w:ascii="Garamond" w:hAnsi="Garamond"/>
          <w:sz w:val="22"/>
          <w:szCs w:val="22"/>
        </w:rPr>
        <w:t>Etudes</w:t>
      </w:r>
      <w:proofErr w:type="spellEnd"/>
      <w:r w:rsidRPr="00A34691">
        <w:rPr>
          <w:rFonts w:ascii="Garamond" w:hAnsi="Garamond"/>
          <w:sz w:val="22"/>
          <w:szCs w:val="22"/>
        </w:rPr>
        <w:t xml:space="preserve"> politiques (NCEP) de l’Université Paris Lumières. Elle est actuellement en délégation CNRS au Centre de recherches sur les arts et le langage (CRAL) à l’EHESS, pour 2024-2025. </w:t>
      </w:r>
      <w:r w:rsidRPr="00A34691">
        <w:rPr>
          <w:rFonts w:ascii="Garamond" w:hAnsi="Garamond" w:cs="Arial"/>
          <w:sz w:val="22"/>
          <w:szCs w:val="22"/>
        </w:rPr>
        <w:t xml:space="preserve">De 2019 à 2024, elle a dirigé l’UR Arts des images et art contemporain (AIAC). </w:t>
      </w:r>
      <w:r w:rsidRPr="00A34691">
        <w:rPr>
          <w:rFonts w:ascii="Garamond" w:hAnsi="Garamond"/>
          <w:sz w:val="22"/>
          <w:szCs w:val="22"/>
        </w:rPr>
        <w:t xml:space="preserve">A ce titre, elle a siégé au Conseil académique de l’EUR </w:t>
      </w:r>
      <w:proofErr w:type="spellStart"/>
      <w:r w:rsidRPr="00A34691">
        <w:rPr>
          <w:rFonts w:ascii="Garamond" w:hAnsi="Garamond"/>
          <w:sz w:val="22"/>
          <w:szCs w:val="22"/>
        </w:rPr>
        <w:t>ArTeC</w:t>
      </w:r>
      <w:proofErr w:type="spellEnd"/>
      <w:r w:rsidRPr="00A34691">
        <w:rPr>
          <w:rFonts w:ascii="Garamond" w:hAnsi="Garamond"/>
          <w:sz w:val="22"/>
          <w:szCs w:val="22"/>
        </w:rPr>
        <w:t xml:space="preserve"> et au Conseil de l’</w:t>
      </w:r>
      <w:proofErr w:type="spellStart"/>
      <w:r w:rsidRPr="00A34691">
        <w:rPr>
          <w:rFonts w:ascii="Garamond" w:hAnsi="Garamond"/>
          <w:sz w:val="22"/>
          <w:szCs w:val="22"/>
        </w:rPr>
        <w:t>Ecole</w:t>
      </w:r>
      <w:proofErr w:type="spellEnd"/>
      <w:r w:rsidRPr="00A34691">
        <w:rPr>
          <w:rFonts w:ascii="Garamond" w:hAnsi="Garamond"/>
          <w:sz w:val="22"/>
          <w:szCs w:val="22"/>
        </w:rPr>
        <w:t xml:space="preserve"> doctorale EDESTA. Depuis 2021, elle est membre élue de la Commission de la Recherche (et de la CR Restreinte) et également du Conseil Académique (et du CAC Restreint).</w:t>
      </w:r>
      <w:r>
        <w:rPr>
          <w:rFonts w:ascii="Garamond" w:hAnsi="Garamond"/>
          <w:sz w:val="22"/>
          <w:szCs w:val="22"/>
        </w:rPr>
        <w:t xml:space="preserve"> Depuis 2019, elle siège au jury du prix Jean Royère en arts visuels de la Chancellerie des Universités de Paris. </w:t>
      </w:r>
    </w:p>
    <w:p w:rsidR="00A34691" w:rsidRPr="00A34691" w:rsidRDefault="00A34691" w:rsidP="00A34691">
      <w:pPr>
        <w:jc w:val="both"/>
        <w:rPr>
          <w:rFonts w:ascii="Garamond" w:hAnsi="Garamond" w:cs="Arial"/>
          <w:sz w:val="22"/>
          <w:szCs w:val="22"/>
        </w:rPr>
      </w:pPr>
      <w:r w:rsidRPr="00A34691">
        <w:rPr>
          <w:rFonts w:ascii="Garamond" w:hAnsi="Garamond" w:cs="Arial"/>
          <w:sz w:val="22"/>
          <w:szCs w:val="22"/>
        </w:rPr>
        <w:t xml:space="preserve">Dans le champ de l’art contemporain, elle explore principalement trois axes : l’esthétique du miroir, l’art à l’épreuve de la violence extrême et la traduction culturelle. Le fil rouge entre ces trois thématiques est la dimension politique de toute représentation visuelle au sein de l’histoire et de la mémoire. </w:t>
      </w:r>
      <w:r w:rsidRPr="00A34691">
        <w:rPr>
          <w:rFonts w:ascii="Garamond" w:hAnsi="Garamond"/>
          <w:sz w:val="22"/>
          <w:szCs w:val="22"/>
        </w:rPr>
        <w:t>S</w:t>
      </w:r>
      <w:r w:rsidRPr="00A34691">
        <w:rPr>
          <w:rFonts w:ascii="Garamond" w:eastAsiaTheme="minorEastAsia" w:hAnsi="Garamond"/>
          <w:iCs/>
          <w:sz w:val="22"/>
          <w:szCs w:val="22"/>
        </w:rPr>
        <w:t xml:space="preserve">es activités scientifiques sont conduites dans une perspective de recherche-action et de recherche-création, à travers la mise en place de 13 programmes internationaux qu’elle a dirigés ou </w:t>
      </w:r>
      <w:proofErr w:type="spellStart"/>
      <w:r w:rsidRPr="00A34691">
        <w:rPr>
          <w:rFonts w:ascii="Garamond" w:eastAsiaTheme="minorEastAsia" w:hAnsi="Garamond"/>
          <w:iCs/>
          <w:sz w:val="22"/>
          <w:szCs w:val="22"/>
        </w:rPr>
        <w:t>co-dirigés</w:t>
      </w:r>
      <w:proofErr w:type="spellEnd"/>
      <w:r w:rsidRPr="00A34691">
        <w:rPr>
          <w:rFonts w:ascii="Garamond" w:hAnsi="Garamond"/>
          <w:sz w:val="22"/>
          <w:szCs w:val="22"/>
        </w:rPr>
        <w:t> </w:t>
      </w:r>
      <w:r w:rsidRPr="00A34691">
        <w:rPr>
          <w:rFonts w:ascii="Garamond" w:eastAsiaTheme="minorEastAsia" w:hAnsi="Garamond"/>
          <w:iCs/>
          <w:sz w:val="22"/>
          <w:szCs w:val="22"/>
        </w:rPr>
        <w:t>:</w:t>
      </w:r>
      <w:r w:rsidRPr="00A34691">
        <w:rPr>
          <w:rFonts w:ascii="Garamond" w:hAnsi="Garamond"/>
          <w:sz w:val="22"/>
          <w:szCs w:val="22"/>
        </w:rPr>
        <w:t xml:space="preserve">  </w:t>
      </w:r>
      <w:r w:rsidRPr="00A34691">
        <w:rPr>
          <w:rFonts w:ascii="Garamond" w:eastAsiaTheme="minorEastAsia" w:hAnsi="Garamond"/>
          <w:iCs/>
          <w:sz w:val="22"/>
          <w:szCs w:val="22"/>
        </w:rPr>
        <w:t xml:space="preserve"> «</w:t>
      </w:r>
      <w:r w:rsidRPr="00A34691">
        <w:rPr>
          <w:rFonts w:ascii="Garamond" w:hAnsi="Garamond"/>
          <w:sz w:val="22"/>
          <w:szCs w:val="22"/>
        </w:rPr>
        <w:t> </w:t>
      </w:r>
      <w:r w:rsidRPr="00A34691">
        <w:rPr>
          <w:rFonts w:ascii="Garamond" w:eastAsiaTheme="minorEastAsia" w:hAnsi="Garamond"/>
          <w:iCs/>
          <w:sz w:val="22"/>
          <w:szCs w:val="22"/>
        </w:rPr>
        <w:t>Mémoire, archives et création</w:t>
      </w:r>
      <w:r w:rsidRPr="00A34691">
        <w:rPr>
          <w:rFonts w:ascii="Garamond" w:hAnsi="Garamond"/>
          <w:sz w:val="22"/>
          <w:szCs w:val="22"/>
        </w:rPr>
        <w:t> </w:t>
      </w:r>
      <w:r w:rsidRPr="00A34691">
        <w:rPr>
          <w:rFonts w:ascii="Garamond" w:eastAsiaTheme="minorEastAsia" w:hAnsi="Garamond"/>
          <w:iCs/>
          <w:sz w:val="22"/>
          <w:szCs w:val="22"/>
        </w:rPr>
        <w:t>» (2007-2010), «</w:t>
      </w:r>
      <w:r w:rsidRPr="00A34691">
        <w:rPr>
          <w:rFonts w:ascii="Garamond" w:hAnsi="Garamond"/>
          <w:sz w:val="22"/>
          <w:szCs w:val="22"/>
        </w:rPr>
        <w:t> </w:t>
      </w:r>
      <w:r w:rsidRPr="00A34691">
        <w:rPr>
          <w:rFonts w:ascii="Garamond" w:eastAsiaTheme="minorEastAsia" w:hAnsi="Garamond"/>
          <w:iCs/>
          <w:sz w:val="22"/>
          <w:szCs w:val="22"/>
        </w:rPr>
        <w:t>Transmission et musées</w:t>
      </w:r>
      <w:r w:rsidRPr="00A34691">
        <w:rPr>
          <w:rFonts w:ascii="Garamond" w:hAnsi="Garamond"/>
          <w:sz w:val="22"/>
          <w:szCs w:val="22"/>
        </w:rPr>
        <w:t> </w:t>
      </w:r>
      <w:r w:rsidRPr="00A34691">
        <w:rPr>
          <w:rFonts w:ascii="Garamond" w:eastAsiaTheme="minorEastAsia" w:hAnsi="Garamond"/>
          <w:iCs/>
          <w:sz w:val="22"/>
          <w:szCs w:val="22"/>
        </w:rPr>
        <w:t>» (2012), «</w:t>
      </w:r>
      <w:r w:rsidRPr="00A34691">
        <w:rPr>
          <w:rFonts w:ascii="Garamond" w:hAnsi="Garamond"/>
          <w:sz w:val="22"/>
          <w:szCs w:val="22"/>
        </w:rPr>
        <w:t> </w:t>
      </w:r>
      <w:r w:rsidRPr="00A34691">
        <w:rPr>
          <w:rFonts w:ascii="Garamond" w:eastAsiaTheme="minorEastAsia" w:hAnsi="Garamond"/>
          <w:iCs/>
          <w:sz w:val="22"/>
          <w:szCs w:val="22"/>
        </w:rPr>
        <w:t xml:space="preserve">Art et </w:t>
      </w:r>
      <w:proofErr w:type="spellStart"/>
      <w:r w:rsidRPr="00A34691">
        <w:rPr>
          <w:rFonts w:ascii="Garamond" w:eastAsiaTheme="minorEastAsia" w:hAnsi="Garamond"/>
          <w:iCs/>
          <w:sz w:val="22"/>
          <w:szCs w:val="22"/>
        </w:rPr>
        <w:t>postmémoire</w:t>
      </w:r>
      <w:proofErr w:type="spellEnd"/>
      <w:r w:rsidRPr="00A34691">
        <w:rPr>
          <w:rFonts w:ascii="Garamond" w:eastAsiaTheme="minorEastAsia" w:hAnsi="Garamond"/>
          <w:iCs/>
          <w:sz w:val="22"/>
          <w:szCs w:val="22"/>
        </w:rPr>
        <w:t xml:space="preserve"> au Cambodge</w:t>
      </w:r>
      <w:r w:rsidRPr="00A34691">
        <w:rPr>
          <w:rFonts w:ascii="Garamond" w:hAnsi="Garamond"/>
          <w:sz w:val="22"/>
          <w:szCs w:val="22"/>
        </w:rPr>
        <w:t> </w:t>
      </w:r>
      <w:r w:rsidRPr="00A34691">
        <w:rPr>
          <w:rFonts w:ascii="Garamond" w:eastAsiaTheme="minorEastAsia" w:hAnsi="Garamond"/>
          <w:iCs/>
          <w:sz w:val="22"/>
          <w:szCs w:val="22"/>
        </w:rPr>
        <w:t>» (2012-2013), «</w:t>
      </w:r>
      <w:r w:rsidRPr="00A34691">
        <w:rPr>
          <w:rFonts w:ascii="Garamond" w:hAnsi="Garamond"/>
          <w:sz w:val="22"/>
          <w:szCs w:val="22"/>
        </w:rPr>
        <w:t> </w:t>
      </w:r>
      <w:r w:rsidRPr="00A34691">
        <w:rPr>
          <w:rFonts w:ascii="Garamond" w:eastAsiaTheme="minorEastAsia" w:hAnsi="Garamond"/>
          <w:iCs/>
          <w:sz w:val="22"/>
          <w:szCs w:val="22"/>
        </w:rPr>
        <w:t xml:space="preserve">Art et </w:t>
      </w:r>
      <w:proofErr w:type="spellStart"/>
      <w:r w:rsidRPr="00A34691">
        <w:rPr>
          <w:rFonts w:ascii="Garamond" w:eastAsiaTheme="minorEastAsia" w:hAnsi="Garamond"/>
          <w:iCs/>
          <w:sz w:val="22"/>
          <w:szCs w:val="22"/>
        </w:rPr>
        <w:t>postmémoire</w:t>
      </w:r>
      <w:proofErr w:type="spellEnd"/>
      <w:r w:rsidRPr="00A34691">
        <w:rPr>
          <w:rFonts w:ascii="Garamond" w:eastAsiaTheme="minorEastAsia" w:hAnsi="Garamond"/>
          <w:iCs/>
          <w:sz w:val="22"/>
          <w:szCs w:val="22"/>
        </w:rPr>
        <w:t xml:space="preserve"> au Rwanda</w:t>
      </w:r>
      <w:r w:rsidRPr="00A34691">
        <w:rPr>
          <w:rFonts w:ascii="Garamond" w:hAnsi="Garamond"/>
          <w:sz w:val="22"/>
          <w:szCs w:val="22"/>
        </w:rPr>
        <w:t> </w:t>
      </w:r>
      <w:r w:rsidRPr="00A34691">
        <w:rPr>
          <w:rFonts w:ascii="Garamond" w:eastAsiaTheme="minorEastAsia" w:hAnsi="Garamond"/>
          <w:iCs/>
          <w:sz w:val="22"/>
          <w:szCs w:val="22"/>
        </w:rPr>
        <w:t>» (2014-2016), «</w:t>
      </w:r>
      <w:r w:rsidRPr="00A34691">
        <w:rPr>
          <w:rFonts w:ascii="Garamond" w:hAnsi="Garamond"/>
          <w:sz w:val="22"/>
          <w:szCs w:val="22"/>
        </w:rPr>
        <w:t> </w:t>
      </w:r>
      <w:r w:rsidRPr="00A34691">
        <w:rPr>
          <w:rFonts w:ascii="Garamond" w:eastAsiaTheme="minorEastAsia" w:hAnsi="Garamond"/>
          <w:iCs/>
          <w:sz w:val="22"/>
          <w:szCs w:val="22"/>
        </w:rPr>
        <w:t>Images du Cambodge</w:t>
      </w:r>
      <w:r w:rsidRPr="00A34691">
        <w:rPr>
          <w:rFonts w:ascii="Garamond" w:hAnsi="Garamond"/>
          <w:sz w:val="22"/>
          <w:szCs w:val="22"/>
        </w:rPr>
        <w:t> </w:t>
      </w:r>
      <w:r w:rsidRPr="00A34691">
        <w:rPr>
          <w:rFonts w:ascii="Garamond" w:eastAsiaTheme="minorEastAsia" w:hAnsi="Garamond"/>
          <w:iCs/>
          <w:sz w:val="22"/>
          <w:szCs w:val="22"/>
        </w:rPr>
        <w:t xml:space="preserve">: mythe, histoire et art </w:t>
      </w:r>
      <w:proofErr w:type="spellStart"/>
      <w:r w:rsidRPr="00A34691">
        <w:rPr>
          <w:rFonts w:ascii="Garamond" w:eastAsiaTheme="minorEastAsia" w:hAnsi="Garamond"/>
          <w:iCs/>
          <w:sz w:val="22"/>
          <w:szCs w:val="22"/>
        </w:rPr>
        <w:t>contemporai</w:t>
      </w:r>
      <w:proofErr w:type="spellEnd"/>
      <w:r w:rsidRPr="00A34691">
        <w:rPr>
          <w:rFonts w:ascii="Garamond" w:hAnsi="Garamond"/>
          <w:sz w:val="22"/>
          <w:szCs w:val="22"/>
        </w:rPr>
        <w:t> </w:t>
      </w:r>
      <w:r w:rsidRPr="00A34691">
        <w:rPr>
          <w:rFonts w:ascii="Garamond" w:eastAsiaTheme="minorEastAsia" w:hAnsi="Garamond"/>
          <w:iCs/>
          <w:sz w:val="22"/>
          <w:szCs w:val="22"/>
        </w:rPr>
        <w:t xml:space="preserve"> » (2014), «</w:t>
      </w:r>
      <w:r w:rsidRPr="00A34691">
        <w:rPr>
          <w:rFonts w:ascii="Garamond" w:hAnsi="Garamond"/>
          <w:sz w:val="22"/>
          <w:szCs w:val="22"/>
        </w:rPr>
        <w:t> </w:t>
      </w:r>
      <w:r w:rsidRPr="00A34691">
        <w:rPr>
          <w:rFonts w:ascii="Garamond" w:eastAsiaTheme="minorEastAsia" w:hAnsi="Garamond"/>
          <w:iCs/>
          <w:sz w:val="22"/>
          <w:szCs w:val="22"/>
        </w:rPr>
        <w:t xml:space="preserve">Archives au </w:t>
      </w:r>
      <w:proofErr w:type="spellStart"/>
      <w:r w:rsidRPr="00A34691">
        <w:rPr>
          <w:rFonts w:ascii="Garamond" w:eastAsiaTheme="minorEastAsia" w:hAnsi="Garamond"/>
          <w:iCs/>
          <w:sz w:val="22"/>
          <w:szCs w:val="22"/>
        </w:rPr>
        <w:t>présen</w:t>
      </w:r>
      <w:proofErr w:type="spellEnd"/>
      <w:r w:rsidRPr="00A34691">
        <w:rPr>
          <w:rFonts w:ascii="Garamond" w:hAnsi="Garamond"/>
          <w:sz w:val="22"/>
          <w:szCs w:val="22"/>
        </w:rPr>
        <w:t> </w:t>
      </w:r>
      <w:r w:rsidRPr="00A34691">
        <w:rPr>
          <w:rFonts w:ascii="Garamond" w:eastAsiaTheme="minorEastAsia" w:hAnsi="Garamond"/>
          <w:iCs/>
          <w:sz w:val="22"/>
          <w:szCs w:val="22"/>
        </w:rPr>
        <w:t>» (2014), «</w:t>
      </w:r>
      <w:r w:rsidRPr="00A34691">
        <w:rPr>
          <w:rFonts w:ascii="Garamond" w:hAnsi="Garamond"/>
          <w:sz w:val="22"/>
          <w:szCs w:val="22"/>
        </w:rPr>
        <w:t> </w:t>
      </w:r>
      <w:r w:rsidRPr="00A34691">
        <w:rPr>
          <w:rFonts w:ascii="Garamond" w:eastAsiaTheme="minorEastAsia" w:hAnsi="Garamond"/>
          <w:iCs/>
          <w:sz w:val="22"/>
          <w:szCs w:val="22"/>
        </w:rPr>
        <w:t>Travail d’archives</w:t>
      </w:r>
      <w:r w:rsidRPr="00A34691">
        <w:rPr>
          <w:rFonts w:ascii="Garamond" w:hAnsi="Garamond"/>
          <w:sz w:val="22"/>
          <w:szCs w:val="22"/>
        </w:rPr>
        <w:t> </w:t>
      </w:r>
      <w:r w:rsidRPr="00A34691">
        <w:rPr>
          <w:rFonts w:ascii="Garamond" w:eastAsiaTheme="minorEastAsia" w:hAnsi="Garamond"/>
          <w:iCs/>
          <w:sz w:val="22"/>
          <w:szCs w:val="22"/>
        </w:rPr>
        <w:t>: Itinéraires entre France et Cambodge</w:t>
      </w:r>
      <w:r w:rsidRPr="00A34691">
        <w:rPr>
          <w:rFonts w:ascii="Garamond" w:hAnsi="Garamond"/>
          <w:sz w:val="22"/>
          <w:szCs w:val="22"/>
        </w:rPr>
        <w:t> </w:t>
      </w:r>
      <w:r w:rsidRPr="00A34691">
        <w:rPr>
          <w:rFonts w:ascii="Garamond" w:eastAsiaTheme="minorEastAsia" w:hAnsi="Garamond"/>
          <w:iCs/>
          <w:sz w:val="22"/>
          <w:szCs w:val="22"/>
        </w:rPr>
        <w:t>» (2015-2016), «</w:t>
      </w:r>
      <w:r w:rsidRPr="00A34691">
        <w:rPr>
          <w:rFonts w:ascii="Garamond" w:hAnsi="Garamond"/>
          <w:sz w:val="22"/>
          <w:szCs w:val="22"/>
        </w:rPr>
        <w:t> </w:t>
      </w:r>
      <w:r w:rsidRPr="00A34691">
        <w:rPr>
          <w:rFonts w:ascii="Garamond" w:eastAsiaTheme="minorEastAsia" w:hAnsi="Garamond"/>
          <w:iCs/>
          <w:sz w:val="22"/>
          <w:szCs w:val="22"/>
        </w:rPr>
        <w:t>Mémoire et paysage</w:t>
      </w:r>
      <w:r w:rsidRPr="00A34691">
        <w:rPr>
          <w:rFonts w:ascii="Garamond" w:hAnsi="Garamond"/>
          <w:sz w:val="22"/>
          <w:szCs w:val="22"/>
        </w:rPr>
        <w:t> </w:t>
      </w:r>
      <w:r w:rsidRPr="00A34691">
        <w:rPr>
          <w:rFonts w:ascii="Garamond" w:eastAsiaTheme="minorEastAsia" w:hAnsi="Garamond"/>
          <w:iCs/>
          <w:sz w:val="22"/>
          <w:szCs w:val="22"/>
        </w:rPr>
        <w:t>» (2016-2019), «</w:t>
      </w:r>
      <w:r w:rsidRPr="00A34691">
        <w:rPr>
          <w:rFonts w:ascii="Garamond" w:hAnsi="Garamond"/>
          <w:sz w:val="22"/>
          <w:szCs w:val="22"/>
        </w:rPr>
        <w:t> </w:t>
      </w:r>
      <w:r w:rsidRPr="00A34691">
        <w:rPr>
          <w:rFonts w:ascii="Garamond" w:eastAsiaTheme="minorEastAsia" w:hAnsi="Garamond"/>
          <w:iCs/>
          <w:sz w:val="22"/>
          <w:szCs w:val="22"/>
        </w:rPr>
        <w:t>Le paysage après coup</w:t>
      </w:r>
      <w:r w:rsidRPr="00A34691">
        <w:rPr>
          <w:rFonts w:ascii="Garamond" w:hAnsi="Garamond"/>
          <w:sz w:val="22"/>
          <w:szCs w:val="22"/>
        </w:rPr>
        <w:t> </w:t>
      </w:r>
      <w:r w:rsidRPr="00A34691">
        <w:rPr>
          <w:rFonts w:ascii="Garamond" w:eastAsiaTheme="minorEastAsia" w:hAnsi="Garamond"/>
          <w:iCs/>
          <w:sz w:val="22"/>
          <w:szCs w:val="22"/>
        </w:rPr>
        <w:t>» (2017-2018), «</w:t>
      </w:r>
      <w:r w:rsidRPr="00A34691">
        <w:rPr>
          <w:rFonts w:ascii="Garamond" w:hAnsi="Garamond"/>
          <w:sz w:val="22"/>
          <w:szCs w:val="22"/>
        </w:rPr>
        <w:t> </w:t>
      </w:r>
      <w:proofErr w:type="spellStart"/>
      <w:r w:rsidRPr="00A34691">
        <w:rPr>
          <w:rFonts w:ascii="Garamond" w:eastAsiaTheme="minorEastAsia" w:hAnsi="Garamond"/>
          <w:iCs/>
          <w:sz w:val="22"/>
          <w:szCs w:val="22"/>
        </w:rPr>
        <w:t>Landscapes</w:t>
      </w:r>
      <w:proofErr w:type="spellEnd"/>
      <w:r w:rsidRPr="00A34691">
        <w:rPr>
          <w:rFonts w:ascii="Garamond" w:eastAsiaTheme="minorEastAsia" w:hAnsi="Garamond"/>
          <w:iCs/>
          <w:sz w:val="22"/>
          <w:szCs w:val="22"/>
        </w:rPr>
        <w:t xml:space="preserve"> </w:t>
      </w:r>
      <w:proofErr w:type="spellStart"/>
      <w:r w:rsidRPr="00A34691">
        <w:rPr>
          <w:rFonts w:ascii="Garamond" w:eastAsiaTheme="minorEastAsia" w:hAnsi="Garamond"/>
          <w:iCs/>
          <w:sz w:val="22"/>
          <w:szCs w:val="22"/>
        </w:rPr>
        <w:t>afterwar</w:t>
      </w:r>
      <w:proofErr w:type="spellEnd"/>
      <w:r w:rsidRPr="00A34691">
        <w:rPr>
          <w:rFonts w:ascii="Garamond" w:eastAsiaTheme="minorEastAsia" w:hAnsi="Garamond"/>
          <w:iCs/>
          <w:sz w:val="22"/>
          <w:szCs w:val="22"/>
        </w:rPr>
        <w:t>(d)s</w:t>
      </w:r>
      <w:r w:rsidRPr="00A34691">
        <w:rPr>
          <w:rFonts w:ascii="Garamond" w:hAnsi="Garamond"/>
          <w:sz w:val="22"/>
          <w:szCs w:val="22"/>
        </w:rPr>
        <w:t> </w:t>
      </w:r>
      <w:r w:rsidRPr="00A34691">
        <w:rPr>
          <w:rFonts w:ascii="Garamond" w:eastAsiaTheme="minorEastAsia" w:hAnsi="Garamond"/>
          <w:iCs/>
          <w:sz w:val="22"/>
          <w:szCs w:val="22"/>
        </w:rPr>
        <w:t>» (2018-2020), «</w:t>
      </w:r>
      <w:r w:rsidRPr="00A34691">
        <w:rPr>
          <w:rFonts w:ascii="Garamond" w:hAnsi="Garamond"/>
          <w:sz w:val="22"/>
          <w:szCs w:val="22"/>
        </w:rPr>
        <w:t> </w:t>
      </w:r>
      <w:r w:rsidRPr="00A34691">
        <w:rPr>
          <w:rFonts w:ascii="Garamond" w:eastAsiaTheme="minorEastAsia" w:hAnsi="Garamond"/>
          <w:iCs/>
          <w:sz w:val="22"/>
          <w:szCs w:val="22"/>
        </w:rPr>
        <w:t xml:space="preserve"> (Post)mémoire et reconnaissance des crimes de masse</w:t>
      </w:r>
      <w:r w:rsidRPr="00A34691">
        <w:rPr>
          <w:rFonts w:ascii="Garamond" w:hAnsi="Garamond"/>
          <w:sz w:val="22"/>
          <w:szCs w:val="22"/>
        </w:rPr>
        <w:t> </w:t>
      </w:r>
      <w:r w:rsidRPr="00A34691">
        <w:rPr>
          <w:rFonts w:ascii="Garamond" w:eastAsiaTheme="minorEastAsia" w:hAnsi="Garamond"/>
          <w:iCs/>
          <w:sz w:val="22"/>
          <w:szCs w:val="22"/>
        </w:rPr>
        <w:t>» (2021-2025), et récemment «</w:t>
      </w:r>
      <w:r w:rsidRPr="00A34691">
        <w:rPr>
          <w:rFonts w:ascii="Garamond" w:hAnsi="Garamond"/>
          <w:sz w:val="22"/>
          <w:szCs w:val="22"/>
        </w:rPr>
        <w:t> </w:t>
      </w:r>
      <w:r w:rsidRPr="00A34691">
        <w:rPr>
          <w:rFonts w:ascii="Garamond" w:eastAsiaTheme="minorEastAsia" w:hAnsi="Garamond"/>
          <w:iCs/>
          <w:sz w:val="22"/>
          <w:szCs w:val="22"/>
        </w:rPr>
        <w:t>Partage de mémoires</w:t>
      </w:r>
      <w:r w:rsidRPr="00A34691">
        <w:rPr>
          <w:rFonts w:ascii="Garamond" w:hAnsi="Garamond"/>
          <w:sz w:val="22"/>
          <w:szCs w:val="22"/>
        </w:rPr>
        <w:t> </w:t>
      </w:r>
      <w:r w:rsidRPr="00A34691">
        <w:rPr>
          <w:rFonts w:ascii="Garamond" w:eastAsiaTheme="minorEastAsia" w:hAnsi="Garamond"/>
          <w:iCs/>
          <w:sz w:val="22"/>
          <w:szCs w:val="22"/>
        </w:rPr>
        <w:t>: archiver les récits d’objets » (2021-2022) et «</w:t>
      </w:r>
      <w:r w:rsidRPr="00A34691">
        <w:rPr>
          <w:rFonts w:ascii="Garamond" w:hAnsi="Garamond"/>
          <w:sz w:val="22"/>
          <w:szCs w:val="22"/>
        </w:rPr>
        <w:t> </w:t>
      </w:r>
      <w:r w:rsidRPr="00A34691">
        <w:rPr>
          <w:rFonts w:ascii="Garamond" w:eastAsiaTheme="minorEastAsia" w:hAnsi="Garamond"/>
          <w:iCs/>
          <w:sz w:val="22"/>
          <w:szCs w:val="22"/>
        </w:rPr>
        <w:t>Archiver les récits d’objets » (2021-2024).</w:t>
      </w:r>
    </w:p>
    <w:p w:rsidR="00A34691" w:rsidRPr="00A34691" w:rsidRDefault="00A34691" w:rsidP="00A34691">
      <w:pPr>
        <w:autoSpaceDE w:val="0"/>
        <w:autoSpaceDN w:val="0"/>
        <w:adjustRightInd w:val="0"/>
        <w:jc w:val="both"/>
        <w:rPr>
          <w:rFonts w:ascii="Garamond" w:eastAsiaTheme="minorEastAsia" w:hAnsi="Garamond"/>
          <w:iCs/>
          <w:sz w:val="22"/>
          <w:szCs w:val="22"/>
        </w:rPr>
      </w:pPr>
      <w:r w:rsidRPr="00A34691">
        <w:rPr>
          <w:rFonts w:ascii="Garamond" w:eastAsiaTheme="minorEastAsia" w:hAnsi="Garamond"/>
          <w:iCs/>
          <w:sz w:val="22"/>
          <w:szCs w:val="22"/>
        </w:rPr>
        <w:t>Ces recherches ont obtenu le soutien de plusieurs institutions nationales et internationales</w:t>
      </w:r>
      <w:r w:rsidRPr="00A34691">
        <w:rPr>
          <w:rFonts w:ascii="Garamond" w:hAnsi="Garamond"/>
          <w:sz w:val="22"/>
          <w:szCs w:val="22"/>
        </w:rPr>
        <w:t> </w:t>
      </w:r>
      <w:r w:rsidRPr="00A34691">
        <w:rPr>
          <w:rFonts w:ascii="Garamond" w:eastAsiaTheme="minorEastAsia" w:hAnsi="Garamond"/>
          <w:iCs/>
          <w:sz w:val="22"/>
          <w:szCs w:val="22"/>
        </w:rPr>
        <w:t xml:space="preserve">: l’EUR </w:t>
      </w:r>
      <w:proofErr w:type="spellStart"/>
      <w:r w:rsidRPr="00A34691">
        <w:rPr>
          <w:rFonts w:ascii="Garamond" w:eastAsiaTheme="minorEastAsia" w:hAnsi="Garamond"/>
          <w:iCs/>
          <w:sz w:val="22"/>
          <w:szCs w:val="22"/>
        </w:rPr>
        <w:t>ArTeC</w:t>
      </w:r>
      <w:proofErr w:type="spellEnd"/>
      <w:r w:rsidRPr="00A34691">
        <w:rPr>
          <w:rFonts w:ascii="Garamond" w:eastAsiaTheme="minorEastAsia" w:hAnsi="Garamond"/>
          <w:iCs/>
          <w:sz w:val="22"/>
          <w:szCs w:val="22"/>
        </w:rPr>
        <w:t xml:space="preserve">, le CNRS, le </w:t>
      </w:r>
      <w:proofErr w:type="spellStart"/>
      <w:r w:rsidRPr="00A34691">
        <w:rPr>
          <w:rFonts w:ascii="Garamond" w:eastAsiaTheme="minorEastAsia" w:hAnsi="Garamond"/>
          <w:iCs/>
          <w:sz w:val="22"/>
          <w:szCs w:val="22"/>
        </w:rPr>
        <w:t>Labex</w:t>
      </w:r>
      <w:proofErr w:type="spellEnd"/>
      <w:r w:rsidRPr="00A34691">
        <w:rPr>
          <w:rFonts w:ascii="Garamond" w:eastAsiaTheme="minorEastAsia" w:hAnsi="Garamond"/>
          <w:iCs/>
          <w:sz w:val="22"/>
          <w:szCs w:val="22"/>
        </w:rPr>
        <w:t xml:space="preserve"> « Les Passés dans le présent », l’Université Paris Lumières, le </w:t>
      </w:r>
      <w:proofErr w:type="spellStart"/>
      <w:r w:rsidRPr="00A34691">
        <w:rPr>
          <w:rFonts w:ascii="Garamond" w:eastAsiaTheme="minorEastAsia" w:hAnsi="Garamond"/>
          <w:iCs/>
          <w:sz w:val="22"/>
          <w:szCs w:val="22"/>
        </w:rPr>
        <w:t>Labex</w:t>
      </w:r>
      <w:proofErr w:type="spellEnd"/>
      <w:r w:rsidRPr="00A34691">
        <w:rPr>
          <w:rFonts w:ascii="Garamond" w:eastAsiaTheme="minorEastAsia" w:hAnsi="Garamond"/>
          <w:iCs/>
          <w:sz w:val="22"/>
          <w:szCs w:val="22"/>
        </w:rPr>
        <w:t xml:space="preserve"> Arts-H2H, l’IDEFI-</w:t>
      </w:r>
      <w:proofErr w:type="spellStart"/>
      <w:r w:rsidRPr="00A34691">
        <w:rPr>
          <w:rFonts w:ascii="Garamond" w:eastAsiaTheme="minorEastAsia" w:hAnsi="Garamond"/>
          <w:iCs/>
          <w:sz w:val="22"/>
          <w:szCs w:val="22"/>
        </w:rPr>
        <w:t>CréaTIC</w:t>
      </w:r>
      <w:proofErr w:type="spellEnd"/>
      <w:r w:rsidRPr="00A34691">
        <w:rPr>
          <w:rFonts w:ascii="Garamond" w:eastAsiaTheme="minorEastAsia" w:hAnsi="Garamond"/>
          <w:iCs/>
          <w:sz w:val="22"/>
          <w:szCs w:val="22"/>
        </w:rPr>
        <w:t xml:space="preserve">, la Fondation Maison des Sciences de l’Homme, les Archives nationales, le Centre Pompidou-Metz, l’Université Columbia à New York, l’Université royale des beaux-arts (URBA) à Phnom Penh, le Centre des archives audiovisuelles </w:t>
      </w:r>
      <w:proofErr w:type="spellStart"/>
      <w:r w:rsidRPr="00A34691">
        <w:rPr>
          <w:rFonts w:ascii="Garamond" w:eastAsiaTheme="minorEastAsia" w:hAnsi="Garamond"/>
          <w:iCs/>
          <w:sz w:val="22"/>
          <w:szCs w:val="22"/>
        </w:rPr>
        <w:t>Bophana</w:t>
      </w:r>
      <w:proofErr w:type="spellEnd"/>
      <w:r w:rsidRPr="00A34691">
        <w:rPr>
          <w:rFonts w:ascii="Garamond" w:eastAsiaTheme="minorEastAsia" w:hAnsi="Garamond"/>
          <w:iCs/>
          <w:sz w:val="22"/>
          <w:szCs w:val="22"/>
        </w:rPr>
        <w:t xml:space="preserve"> à Phnom Penh, le Centre </w:t>
      </w:r>
      <w:proofErr w:type="spellStart"/>
      <w:r w:rsidRPr="00A34691">
        <w:rPr>
          <w:rFonts w:ascii="Garamond" w:eastAsiaTheme="minorEastAsia" w:hAnsi="Garamond"/>
          <w:iCs/>
          <w:sz w:val="22"/>
          <w:szCs w:val="22"/>
        </w:rPr>
        <w:t>Iriba</w:t>
      </w:r>
      <w:proofErr w:type="spellEnd"/>
      <w:r w:rsidRPr="00A34691">
        <w:rPr>
          <w:rFonts w:ascii="Garamond" w:eastAsiaTheme="minorEastAsia" w:hAnsi="Garamond"/>
          <w:iCs/>
          <w:sz w:val="22"/>
          <w:szCs w:val="22"/>
        </w:rPr>
        <w:t xml:space="preserve"> pour le patrimoine multimédia à Kigali, l’Institut supérieur des arts et des cultures (ISAC) de Université Cheikh </w:t>
      </w:r>
      <w:proofErr w:type="spellStart"/>
      <w:r w:rsidRPr="00A34691">
        <w:rPr>
          <w:rFonts w:ascii="Garamond" w:eastAsiaTheme="minorEastAsia" w:hAnsi="Garamond"/>
          <w:iCs/>
          <w:sz w:val="22"/>
          <w:szCs w:val="22"/>
        </w:rPr>
        <w:t>Anta</w:t>
      </w:r>
      <w:proofErr w:type="spellEnd"/>
      <w:r w:rsidRPr="00A34691">
        <w:rPr>
          <w:rFonts w:ascii="Garamond" w:eastAsiaTheme="minorEastAsia" w:hAnsi="Garamond"/>
          <w:iCs/>
          <w:sz w:val="22"/>
          <w:szCs w:val="22"/>
        </w:rPr>
        <w:t xml:space="preserve"> Diop à Dakar, l’Université Gaston Berger à Saint-Louis, le Musée Théodore Monod d’art Africain à Dakar.</w:t>
      </w:r>
    </w:p>
    <w:p w:rsidR="00A34691" w:rsidRPr="0003153E" w:rsidRDefault="00A34691" w:rsidP="0003153E">
      <w:pPr>
        <w:spacing w:after="60"/>
        <w:jc w:val="both"/>
        <w:rPr>
          <w:rFonts w:ascii="Garamond" w:hAnsi="Garamond"/>
        </w:rPr>
      </w:pPr>
      <w:bookmarkStart w:id="0" w:name="_GoBack"/>
      <w:bookmarkEnd w:id="0"/>
    </w:p>
    <w:sectPr w:rsidR="00A34691" w:rsidRPr="0003153E" w:rsidSect="005601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5195"/>
    <w:multiLevelType w:val="hybridMultilevel"/>
    <w:tmpl w:val="65700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FA61D0"/>
    <w:multiLevelType w:val="hybridMultilevel"/>
    <w:tmpl w:val="6DF03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590A92"/>
    <w:multiLevelType w:val="hybridMultilevel"/>
    <w:tmpl w:val="5D82D1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91"/>
    <w:rsid w:val="0003153E"/>
    <w:rsid w:val="000A2350"/>
    <w:rsid w:val="00980C57"/>
    <w:rsid w:val="00A34691"/>
    <w:rsid w:val="00BA0FF9"/>
    <w:rsid w:val="00DD4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C8A545E"/>
  <w15:chartTrackingRefBased/>
  <w15:docId w15:val="{072758B4-96B7-E041-8449-60EFC7BB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691"/>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34691"/>
    <w:pPr>
      <w:spacing w:after="160" w:line="259" w:lineRule="auto"/>
      <w:ind w:left="720"/>
      <w:contextualSpacing/>
    </w:pPr>
    <w:rPr>
      <w:rFonts w:asciiTheme="minorHAnsi" w:eastAsiaTheme="minorHAnsi" w:hAnsiTheme="minorHAnsi" w:cstheme="minorBidi"/>
      <w:sz w:val="22"/>
      <w:szCs w:val="22"/>
      <w:lang w:eastAsia="en-US"/>
    </w:rPr>
  </w:style>
  <w:style w:type="character" w:styleId="Accentuation">
    <w:name w:val="Emphasis"/>
    <w:basedOn w:val="Policepardfaut"/>
    <w:uiPriority w:val="20"/>
    <w:qFormat/>
    <w:rsid w:val="00A34691"/>
    <w:rPr>
      <w:i/>
      <w:iCs/>
    </w:rPr>
  </w:style>
  <w:style w:type="paragraph" w:styleId="NormalWeb">
    <w:name w:val="Normal (Web)"/>
    <w:basedOn w:val="Normal"/>
    <w:uiPriority w:val="99"/>
    <w:unhideWhenUsed/>
    <w:rsid w:val="00A34691"/>
    <w:pPr>
      <w:spacing w:before="100" w:beforeAutospacing="1" w:after="100" w:afterAutospacing="1"/>
    </w:pPr>
    <w:rPr>
      <w:rFonts w:eastAsiaTheme="minorEastAsia"/>
      <w:sz w:val="20"/>
      <w:szCs w:val="20"/>
    </w:rPr>
  </w:style>
  <w:style w:type="character" w:styleId="lev">
    <w:name w:val="Strong"/>
    <w:basedOn w:val="Policepardfaut"/>
    <w:uiPriority w:val="22"/>
    <w:qFormat/>
    <w:rsid w:val="00A34691"/>
    <w:rPr>
      <w:b/>
      <w:bCs/>
    </w:rPr>
  </w:style>
  <w:style w:type="character" w:customStyle="1" w:styleId="apple-converted-space">
    <w:name w:val="apple-converted-space"/>
    <w:basedOn w:val="Policepardfaut"/>
    <w:rsid w:val="00A34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410</Words>
  <Characters>2231</Characters>
  <Application>Microsoft Office Word</Application>
  <DocSecurity>0</DocSecurity>
  <Lines>37</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2024-09-29T08:30:00Z</dcterms:created>
  <dcterms:modified xsi:type="dcterms:W3CDTF">2024-09-29T17:31:00Z</dcterms:modified>
</cp:coreProperties>
</file>