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  <w:lang w:eastAsia="fr-FR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2530800" cy="957600"/>
                <wp:effectExtent l="0" t="0" r="0" b="0"/>
                <wp:wrapTight wrapText="bothSides">
                  <wp:wrapPolygon edited="1">
                    <wp:start x="0" y="0"/>
                    <wp:lineTo x="0" y="21199"/>
                    <wp:lineTo x="21464" y="21199"/>
                    <wp:lineTo x="21464" y="0"/>
                    <wp:lineTo x="0" y="0"/>
                  </wp:wrapPolygon>
                </wp:wrapTight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TeC_CMJN.jp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30800" cy="9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so-position-horizontal:center;mso-position-vertical-relative:text;margin-top:0.20pt;mso-position-vertical:absolute;width:199.28pt;height:75.40pt;mso-wrap-distance-left:9.00pt;mso-wrap-distance-top:0.00pt;mso-wrap-distance-right:9.00pt;mso-wrap-distance-bottom:0.00pt;z-index:1;" wrapcoords="0 0 0 98144 99370 98144 99370 0 0 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009cc4"/>
          <w:sz w:val="28"/>
        </w:rPr>
      </w:pP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  <w:r>
        <w:rPr>
          <w:rFonts w:ascii="Circular Pro Book" w:hAnsi="Circular Pro Book" w:cs="Circular Pro Book"/>
          <w:b/>
          <w:color w:val="009cc4"/>
          <w:sz w:val="28"/>
        </w:rPr>
      </w:r>
    </w:p>
    <w:p>
      <w:pPr>
        <w:pBdr/>
        <w:spacing/>
        <w:ind/>
        <w:jc w:val="center"/>
        <w:rPr>
          <w:rFonts w:ascii="Circular Pro Book" w:hAnsi="Circular Pro Book" w:cs="Circular Pro Book"/>
          <w:b/>
          <w:color w:val="27368d"/>
          <w:sz w:val="32"/>
          <w:szCs w:val="32"/>
        </w:rPr>
      </w:pP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Appel à candidat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ure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s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 - Contrat postdoctoral 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202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6-202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  <w:t xml:space="preserve">7</w:t>
      </w:r>
      <w:r>
        <w:rPr>
          <w:rFonts w:ascii="Circular Pro Book" w:hAnsi="Circular Pro Book" w:cs="Circular Pro Book"/>
          <w:b/>
          <w:color w:val="27368d"/>
          <w:sz w:val="32"/>
          <w:szCs w:val="32"/>
        </w:rPr>
      </w:r>
    </w:p>
    <w:p>
      <w:pPr>
        <w:pBdr/>
        <w:spacing w:after="120"/>
        <w:ind/>
        <w:jc w:val="center"/>
        <w:rPr>
          <w:rFonts w:ascii="Circular Pro Book" w:hAnsi="Circular Pro Book" w:cs="Circular Pro Book"/>
          <w:bCs/>
          <w:color w:val="27368d"/>
          <w:sz w:val="32"/>
          <w:szCs w:val="32"/>
        </w:rPr>
      </w:pPr>
      <w:r>
        <w:rPr>
          <w:rFonts w:ascii="Circular Pro Book" w:hAnsi="Circular Pro Book" w:cs="Circular Pro Book"/>
          <w:bCs/>
          <w:color w:val="27368d"/>
          <w:sz w:val="32"/>
          <w:szCs w:val="32"/>
        </w:rPr>
        <w:t xml:space="preserve">Formulaire de candidature</w:t>
      </w:r>
      <w:r>
        <w:rPr>
          <w:rFonts w:ascii="Circular Pro Book" w:hAnsi="Circular Pro Book" w:cs="Circular Pro Book"/>
          <w:bCs/>
          <w:color w:val="27368d"/>
          <w:sz w:val="32"/>
          <w:szCs w:val="32"/>
        </w:rPr>
      </w:r>
      <w:r>
        <w:rPr>
          <w:rFonts w:ascii="Circular Pro Book" w:hAnsi="Circular Pro Book" w:cs="Circular Pro Book"/>
          <w:bCs/>
          <w:color w:val="27368d"/>
          <w:sz w:val="32"/>
          <w:szCs w:val="32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à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transmettre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au plus tard le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2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mars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202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6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à midi</w:t>
      </w:r>
      <w:r>
        <w:rPr>
          <w:rFonts w:asciiTheme="minorHAnsi" w:hAnsiTheme="minorHAnsi" w:cstheme="minorHAnsi"/>
          <w:b/>
          <w:bCs/>
          <w:sz w:val="20"/>
          <w:szCs w:val="20"/>
        </w:rPr>
      </w:r>
    </w:p>
    <w:p>
      <w:pPr>
        <w:pBdr/>
        <w:spacing/>
        <w:ind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eastAsia="TimesNewRomanPS-BoldMT" w:cs="TimesNewRomanPS-BoldMT" w:asciiTheme="minorHAnsi" w:hAnsiTheme="minorHAnsi"/>
          <w:b/>
          <w:color w:val="000000"/>
          <w:sz w:val="20"/>
          <w:szCs w:val="20"/>
        </w:rPr>
      </w:r>
      <w:hyperlink r:id="rId11" w:tooltip="https://kdrive.eur-artec.fr/app/collaborate/1045789/5308535f-3898-4e83-924d-c75465b0fc97" w:history="1">
        <w:r>
          <w:rPr>
            <w:rStyle w:val="919"/>
            <w:rFonts w:asciiTheme="minorHAnsi" w:hAnsiTheme="minorHAnsi" w:cstheme="minorHAnsi"/>
            <w:b/>
            <w:bCs/>
            <w:sz w:val="20"/>
            <w:szCs w:val="20"/>
          </w:rPr>
          <w:t xml:space="preserve">Boîte de dépôt | Post-doctorat </w:t>
        </w:r>
      </w:hyperlink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Les candidat</w:t>
      </w:r>
      <w:r>
        <w:rPr>
          <w:rFonts w:eastAsia="TimesNewRomanPSMT" w:asciiTheme="minorHAnsi" w:hAnsiTheme="minorHAnsi" w:cstheme="minorHAnsi"/>
          <w:color w:val="000000"/>
        </w:rPr>
        <w:t xml:space="preserve">.es</w:t>
      </w:r>
      <w:r>
        <w:rPr>
          <w:rFonts w:eastAsia="TimesNewRomanPSMT" w:asciiTheme="minorHAnsi" w:hAnsiTheme="minorHAnsi" w:cstheme="minorHAnsi"/>
          <w:color w:val="000000"/>
        </w:rPr>
        <w:t xml:space="preserve"> à un contrat postdoctoral devront être rattaché</w:t>
      </w:r>
      <w:r>
        <w:rPr>
          <w:rFonts w:eastAsia="TimesNewRomanPSMT" w:asciiTheme="minorHAnsi" w:hAnsiTheme="minorHAnsi" w:cstheme="minorHAnsi"/>
          <w:color w:val="000000"/>
        </w:rPr>
        <w:t xml:space="preserve">.e</w:t>
      </w:r>
      <w:r>
        <w:rPr>
          <w:rFonts w:eastAsia="TimesNewRomanPSMT" w:asciiTheme="minorHAnsi" w:hAnsiTheme="minorHAnsi" w:cstheme="minorHAnsi"/>
          <w:color w:val="000000"/>
        </w:rPr>
        <w:t xml:space="preserve">s à l’un des laboratoires suivants, dont l’</w:t>
      </w:r>
      <w:r>
        <w:rPr>
          <w:rFonts w:eastAsia="TimesNewRomanPSMT" w:asciiTheme="minorHAnsi" w:hAnsiTheme="minorHAnsi" w:cstheme="minorHAnsi"/>
          <w:color w:val="000000"/>
        </w:rPr>
        <w:t xml:space="preserve">un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 des membres titulair</w:t>
      </w:r>
      <w:r>
        <w:rPr>
          <w:rFonts w:eastAsia="TimesNewRomanPSMT" w:asciiTheme="minorHAnsi" w:hAnsiTheme="minorHAnsi" w:cstheme="minorHAnsi"/>
          <w:color w:val="000000"/>
        </w:rPr>
        <w:t xml:space="preserve">es</w:t>
      </w:r>
      <w:r>
        <w:rPr>
          <w:rFonts w:eastAsia="TimesNewRomanPSMT" w:asciiTheme="minorHAnsi" w:hAnsiTheme="minorHAnsi" w:cstheme="minorHAnsi"/>
          <w:color w:val="000000"/>
        </w:rPr>
        <w:t xml:space="preserve"> HDR</w:t>
      </w:r>
      <w:r>
        <w:rPr>
          <w:rFonts w:eastAsia="TimesNewRomanPSMT" w:asciiTheme="minorHAnsi" w:hAnsiTheme="minorHAnsi" w:cstheme="minorHAnsi"/>
          <w:color w:val="000000"/>
        </w:rPr>
        <w:t xml:space="preserve"> sera </w:t>
      </w:r>
      <w:r>
        <w:rPr>
          <w:rFonts w:eastAsia="TimesNewRomanPSMT" w:asciiTheme="minorHAnsi" w:hAnsiTheme="minorHAnsi" w:cstheme="minorHAnsi"/>
          <w:color w:val="000000"/>
        </w:rPr>
        <w:t xml:space="preserve">désigné</w:t>
      </w:r>
      <w:r>
        <w:rPr>
          <w:rFonts w:eastAsia="TimesNewRomanPSMT" w:asciiTheme="minorHAnsi" w:hAnsiTheme="minorHAnsi" w:cstheme="minorHAnsi"/>
          <w:color w:val="000000"/>
        </w:rPr>
        <w:t xml:space="preserve">·e</w:t>
      </w:r>
      <w:r>
        <w:rPr>
          <w:rFonts w:eastAsia="TimesNewRomanPSMT" w:asciiTheme="minorHAnsi" w:hAnsiTheme="minorHAnsi" w:cstheme="minorHAnsi"/>
          <w:color w:val="000000"/>
        </w:rPr>
        <w:t xml:space="preserve"> comme </w:t>
      </w:r>
      <w:r>
        <w:rPr>
          <w:rFonts w:eastAsia="TimesNewRomanPSMT" w:asciiTheme="minorHAnsi" w:hAnsiTheme="minorHAnsi" w:cstheme="minorHAnsi"/>
          <w:color w:val="000000"/>
        </w:rPr>
        <w:t xml:space="preserve">tuteur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rice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Garamond" w:asciiTheme="minorHAnsi" w:hAnsiTheme="minorHAnsi" w:cstheme="minorHAnsi"/>
          <w:color w:val="000000"/>
        </w:rPr>
      </w:pPr>
      <w:r>
        <w:rPr>
          <w:rFonts w:eastAsia="Garamond" w:asciiTheme="minorHAnsi" w:hAnsiTheme="minorHAnsi" w:cstheme="minorHAnsi"/>
          <w:color w:val="000000"/>
        </w:rPr>
      </w:r>
      <w:r>
        <w:rPr>
          <w:rFonts w:eastAsia="Garamond" w:asciiTheme="minorHAnsi" w:hAnsiTheme="minorHAnsi" w:cstheme="minorHAnsi"/>
          <w:color w:val="000000"/>
        </w:rPr>
      </w:r>
      <w:r>
        <w:rPr>
          <w:rFonts w:eastAsia="Garamond" w:asciiTheme="minorHAnsi" w:hAnsiTheme="minorHAnsi" w:cstheme="minorHAnsi"/>
          <w:color w:val="000000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Histoire des arts et des représentations, HAR (</w:t>
      </w:r>
      <w:r>
        <w:rPr>
          <w:rFonts w:asciiTheme="minorHAnsi" w:hAnsiTheme="minorHAnsi" w:cstheme="minorHAnsi"/>
        </w:rPr>
        <w:t xml:space="preserve">EA 4414, </w:t>
      </w:r>
      <w:r>
        <w:rPr>
          <w:rFonts w:asciiTheme="minorHAnsi" w:hAnsiTheme="minorHAnsi" w:cstheme="minorHAnsi"/>
        </w:rPr>
        <w:t xml:space="preserve">Paris Nanterre)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Arts des images &amp; art contemporain, AIAC (</w:t>
      </w:r>
      <w:r>
        <w:rPr>
          <w:rFonts w:asciiTheme="minorHAnsi" w:hAnsiTheme="minorHAnsi" w:cstheme="minorHAnsi"/>
        </w:rPr>
        <w:t xml:space="preserve">EA 4010</w:t>
      </w:r>
      <w:r/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Esthétique, musicologie et création musicale, </w:t>
      </w:r>
      <w:r>
        <w:rPr>
          <w:rFonts w:asciiTheme="minorHAnsi" w:hAnsiTheme="minorHAnsi" w:cstheme="minorHAnsi"/>
        </w:rPr>
        <w:t xml:space="preserve">mu</w:t>
      </w:r>
      <w:r>
        <w:rPr>
          <w:rFonts w:asciiTheme="minorHAnsi" w:hAnsiTheme="minorHAnsi" w:cstheme="minorHAnsi"/>
        </w:rPr>
        <w:t xml:space="preserve">sidanse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EA 1572</w:t>
      </w:r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Scènes du monde, création, savoirs critiques (</w:t>
      </w:r>
      <w:r>
        <w:rPr>
          <w:rFonts w:asciiTheme="minorHAnsi" w:hAnsiTheme="minorHAnsi" w:cstheme="minorHAnsi"/>
        </w:rPr>
        <w:t xml:space="preserve">EA 1573</w:t>
      </w:r>
      <w:r/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Laboratoire d'études et de recherche sur les logiques contemporaines de la philosophie, LLCP (</w:t>
      </w:r>
      <w:r>
        <w:rPr>
          <w:rFonts w:asciiTheme="minorHAnsi" w:hAnsiTheme="minorHAnsi" w:cstheme="minorHAnsi"/>
        </w:rPr>
        <w:t xml:space="preserve">EA 4008, </w:t>
      </w:r>
      <w:r>
        <w:rPr>
          <w:rFonts w:asciiTheme="minorHAnsi" w:hAnsiTheme="minorHAnsi" w:cstheme="minorHAnsi"/>
        </w:rPr>
        <w:t xml:space="preserve">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Laboratoire </w:t>
      </w:r>
      <w:r>
        <w:rPr>
          <w:rFonts w:asciiTheme="minorHAnsi" w:hAnsiTheme="minorHAnsi" w:cstheme="minorHAnsi"/>
        </w:rPr>
        <w:t xml:space="preserve">Paragraphe (</w:t>
      </w:r>
      <w:r>
        <w:rPr>
          <w:rFonts w:asciiTheme="minorHAnsi" w:hAnsiTheme="minorHAnsi" w:cstheme="minorHAnsi"/>
        </w:rPr>
        <w:t xml:space="preserve">EA 349</w:t>
      </w:r>
      <w:r/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Cognition humaine et Artificielle, CHART-THIM (</w:t>
      </w:r>
      <w:r>
        <w:rPr>
          <w:rFonts w:asciiTheme="minorHAnsi" w:hAnsiTheme="minorHAnsi" w:cstheme="minorHAnsi"/>
        </w:rPr>
        <w:t xml:space="preserve">EA 4004</w:t>
      </w:r>
      <w:r/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Structures formelles du langage, SFL (</w:t>
      </w:r>
      <w:r>
        <w:rPr>
          <w:rFonts w:asciiTheme="minorHAnsi" w:hAnsiTheme="minorHAnsi" w:cstheme="minorHAnsi"/>
        </w:rPr>
        <w:t xml:space="preserve">CNRS</w:t>
      </w:r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Centre de recherches sociologiques et politiques de Paris, CRESPPA (CNRS, Paris 8, Paris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Laboratoire d’études de genre et de sexualité, LEGS </w:t>
      </w:r>
      <w:r>
        <w:rPr>
          <w:rFonts w:asciiTheme="minorHAnsi" w:hAnsiTheme="minorHAnsi" w:cstheme="minorHAnsi"/>
        </w:rPr>
        <w:t xml:space="preserve">(CNRS, Paris 8, Paris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Laboratoire d’études romanes (</w:t>
      </w:r>
      <w:r>
        <w:rPr>
          <w:rFonts w:asciiTheme="minorHAnsi" w:hAnsiTheme="minorHAnsi" w:cstheme="minorHAnsi"/>
        </w:rPr>
        <w:t xml:space="preserve">EA 4385, </w:t>
      </w:r>
      <w:r>
        <w:rPr>
          <w:rFonts w:asciiTheme="minorHAnsi" w:hAnsiTheme="minorHAnsi" w:cstheme="minorHAnsi"/>
        </w:rPr>
        <w:t xml:space="preserve">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Transferts critiques et dynamique des savoirs, </w:t>
      </w:r>
      <w:r>
        <w:rPr>
          <w:rFonts w:asciiTheme="minorHAnsi" w:hAnsiTheme="minorHAnsi" w:cstheme="minorHAnsi"/>
        </w:rPr>
        <w:t xml:space="preserve">TransCrit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EA 1569 </w:t>
      </w:r>
      <w:r>
        <w:rPr>
          <w:rFonts w:asciiTheme="minorHAnsi" w:hAnsiTheme="minorHAnsi" w:cstheme="minorHAnsi"/>
        </w:rPr>
        <w:t xml:space="preserve">,Paris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Littérature et histoires, esthétique, LHE (</w:t>
      </w:r>
      <w:r>
        <w:rPr>
          <w:rFonts w:asciiTheme="minorHAnsi" w:hAnsiTheme="minorHAnsi" w:cstheme="minorHAnsi"/>
        </w:rPr>
        <w:t xml:space="preserve">EA 7322 </w:t>
      </w:r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Laboratoire parisien de psychologie sociale, LAPPS (</w:t>
      </w:r>
      <w:r>
        <w:rPr>
          <w:rFonts w:asciiTheme="minorHAnsi" w:hAnsiTheme="minorHAnsi" w:cstheme="minorHAnsi"/>
        </w:rPr>
        <w:t xml:space="preserve">EA 4386, 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t xml:space="preserve">Paris 8, Paris Nanterre)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Esthétique, sciences et technologies du cinéma et de l’audiovisuel (</w:t>
      </w:r>
      <w:r>
        <w:rPr>
          <w:rFonts w:asciiTheme="minorHAnsi" w:hAnsiTheme="minorHAnsi" w:cstheme="minorHAnsi"/>
        </w:rPr>
        <w:t xml:space="preserve">EA 2302</w:t>
      </w:r>
      <w:r>
        <w:rPr>
          <w:rFonts w:asciiTheme="minorHAnsi" w:hAnsiTheme="minorHAnsi" w:cstheme="minorHAnsi"/>
        </w:rPr>
        <w:t xml:space="preserve">, 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Centre d'études sur les Médias, les Technologies et l'Internationalisation, CEMTI (</w:t>
      </w:r>
      <w:r>
        <w:rPr>
          <w:rFonts w:asciiTheme="minorHAnsi" w:hAnsiTheme="minorHAnsi" w:cstheme="minorHAnsi"/>
        </w:rPr>
        <w:t xml:space="preserve">EA 3388, </w:t>
      </w:r>
      <w:r>
        <w:rPr>
          <w:rFonts w:asciiTheme="minorHAnsi" w:hAnsiTheme="minorHAnsi" w:cstheme="minorHAnsi"/>
        </w:rPr>
        <w:t xml:space="preserve">Paris 8)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Dispositifs d’information et de communication à l’ère numérique –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Dicen-Idf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EA 7339, </w:t>
      </w:r>
      <w:r>
        <w:rPr>
          <w:rFonts w:asciiTheme="minorHAnsi" w:hAnsiTheme="minorHAnsi" w:cstheme="minorHAnsi"/>
        </w:rPr>
        <w:t xml:space="preserve">Paris</w:t>
      </w:r>
      <w:r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 xml:space="preserve">anterre, </w:t>
      </w:r>
      <w:r>
        <w:rPr>
          <w:rFonts w:asciiTheme="minorHAnsi" w:hAnsiTheme="minorHAnsi" w:cstheme="minorHAnsi"/>
        </w:rPr>
        <w:t xml:space="preserve">Cnam</w:t>
      </w:r>
      <w:r>
        <w:rPr>
          <w:rFonts w:asciiTheme="minorHAnsi" w:hAnsiTheme="minorHAnsi" w:cstheme="minorHAnsi"/>
        </w:rPr>
        <w:t xml:space="preserve">, UPEM).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Institut de recherches philosophiques, </w:t>
      </w:r>
      <w:r>
        <w:rPr>
          <w:rFonts w:asciiTheme="minorHAnsi" w:hAnsiTheme="minorHAnsi" w:cstheme="minorHAnsi"/>
        </w:rPr>
        <w:t xml:space="preserve">IRePh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EA 373, </w:t>
      </w:r>
      <w:r>
        <w:rPr>
          <w:rFonts w:asciiTheme="minorHAnsi" w:hAnsiTheme="minorHAnsi" w:cstheme="minorHAnsi"/>
        </w:rPr>
        <w:t xml:space="preserve">Paris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numPr>
          <w:ilvl w:val="0"/>
          <w:numId w:val="1"/>
        </w:numPr>
        <w:pBdr/>
        <w:spacing/>
        <w:ind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Laboratoire Énergétique Mécanique</w:t>
      </w:r>
      <w:r>
        <w:rPr>
          <w:rFonts w:asciiTheme="minorHAnsi" w:hAnsiTheme="minorHAnsi" w:cstheme="minorHAnsi"/>
        </w:rPr>
        <w:t xml:space="preserve"> Électromagnétisme (</w:t>
      </w:r>
      <w:r>
        <w:rPr>
          <w:rFonts w:asciiTheme="minorHAnsi" w:hAnsiTheme="minorHAnsi" w:cstheme="minorHAnsi"/>
        </w:rPr>
        <w:t xml:space="preserve">EA 4416, </w:t>
      </w:r>
      <w:r>
        <w:rPr>
          <w:rFonts w:asciiTheme="minorHAnsi" w:hAnsiTheme="minorHAnsi" w:cstheme="minorHAnsi"/>
        </w:rPr>
        <w:t xml:space="preserve">Paris </w:t>
      </w:r>
      <w:r>
        <w:rPr>
          <w:rFonts w:asciiTheme="minorHAnsi" w:hAnsiTheme="minorHAnsi" w:cstheme="minorHAnsi"/>
        </w:rPr>
        <w:t xml:space="preserve">Nanterre)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Centre de Recherches Anglophones (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EA 370, 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Paris Nanterre)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É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tudes Romanes (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EA 369, </w:t>
      </w:r>
      <w:r>
        <w:rPr>
          <w:rFonts w:eastAsia="Times New Roman" w:asciiTheme="minorHAnsi" w:hAnsiTheme="minorHAnsi" w:cstheme="minorHAnsi"/>
          <w:sz w:val="24"/>
          <w:szCs w:val="24"/>
          <w:shd w:val="clear" w:color="auto" w:fill="fdfdfd"/>
        </w:rPr>
        <w:t xml:space="preserve">Paris Nanterre)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Centre de Recherche en Littérature et Poétiques comparées</w:t>
      </w:r>
      <w:r>
        <w:rPr>
          <w:rFonts w:eastAsia="Arial Bold"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LIPO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 xml:space="preserve">EA3931</w:t>
      </w:r>
      <w:r>
        <w:rPr>
          <w:rFonts w:asciiTheme="minorHAnsi" w:hAnsiTheme="minorHAnsi" w:cstheme="minorHAnsi"/>
          <w:sz w:val="24"/>
          <w:szCs w:val="24"/>
        </w:rPr>
        <w:t xml:space="preserve">, Paris </w:t>
      </w:r>
      <w:r>
        <w:rPr>
          <w:rFonts w:asciiTheme="minorHAnsi" w:hAnsiTheme="minorHAnsi" w:cstheme="minorHAnsi"/>
          <w:sz w:val="24"/>
          <w:szCs w:val="24"/>
        </w:rPr>
        <w:t xml:space="preserve">Nanterre)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Centre des Sciences des littératures e</w:t>
      </w:r>
      <w:r>
        <w:rPr>
          <w:rFonts w:asciiTheme="minorHAnsi" w:hAnsiTheme="minorHAnsi" w:cstheme="minorHAnsi"/>
          <w:sz w:val="24"/>
          <w:szCs w:val="24"/>
        </w:rPr>
        <w:t xml:space="preserve">n langue Française, CSLF (</w:t>
      </w:r>
      <w:r>
        <w:rPr>
          <w:rFonts w:asciiTheme="minorHAnsi" w:hAnsiTheme="minorHAnsi" w:cstheme="minorHAnsi"/>
          <w:sz w:val="24"/>
          <w:szCs w:val="24"/>
        </w:rPr>
        <w:t xml:space="preserve">EA1586 </w:t>
      </w:r>
      <w:r>
        <w:rPr>
          <w:rFonts w:asciiTheme="minorHAnsi" w:hAnsiTheme="minorHAnsi" w:cstheme="minorHAnsi"/>
          <w:sz w:val="24"/>
          <w:szCs w:val="24"/>
        </w:rPr>
        <w:t xml:space="preserve">,Paris </w:t>
      </w:r>
      <w:r>
        <w:rPr>
          <w:rFonts w:asciiTheme="minorHAnsi" w:hAnsiTheme="minorHAnsi" w:cstheme="minorHAnsi"/>
          <w:sz w:val="24"/>
          <w:szCs w:val="24"/>
        </w:rPr>
        <w:t xml:space="preserve">Nanterre)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Laboratoire d’Intelligence Artificielle et Sémantique des Données (LIASD)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Institut d'histoire du temps présent (IHTP, UMR 8244)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Laboratoire d'ethnologie et de sociologie comparative (LESC, UMR 7186)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Laboratoire de sociologie, philosophie, et anthropologie politiques (</w:t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Sophiapol</w:t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, </w:t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EA 3932)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  <w:lang w:eastAsia="fr-FR"/>
        </w:rPr>
      </w:r>
      <w:r>
        <w:rPr>
          <w:rFonts w:eastAsia="Times New Roman" w:asciiTheme="minorHAnsi" w:hAnsiTheme="minorHAnsi" w:cstheme="minorHAnsi"/>
          <w:sz w:val="24"/>
          <w:szCs w:val="24"/>
          <w:lang w:eastAsia="fr-FR"/>
        </w:rPr>
        <w:t xml:space="preserve">Laboratoire Architecture Ville Urbanisme Environnement (LAVUE, UMR 7218)</w:t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925"/>
        <w:numPr>
          <w:ilvl w:val="0"/>
          <w:numId w:val="1"/>
        </w:numPr>
        <w:pBdr/>
        <w:tabs>
          <w:tab w:val="num" w:leader="none" w:pos="720"/>
        </w:tabs>
        <w:spacing w:after="0" w:line="240" w:lineRule="auto"/>
        <w:ind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Arial Bold" w:asciiTheme="minorHAnsi" w:hAnsiTheme="minorHAnsi" w:cstheme="minorHAnsi"/>
          <w:sz w:val="24"/>
          <w:szCs w:val="24"/>
          <w:highlight w:val="none"/>
        </w:rPr>
      </w:r>
      <w:r>
        <w:rPr>
          <w:rFonts w:eastAsia="Arial Bold" w:asciiTheme="minorHAnsi" w:hAnsiTheme="minorHAnsi" w:cstheme="minorHAnsi"/>
          <w:sz w:val="24"/>
          <w:szCs w:val="24"/>
          <w:highlight w:val="none"/>
        </w:rPr>
        <w:t xml:space="preserve">Centre d’histoire des sociétés Médiévales et Modernes (MéMo)</w:t>
      </w:r>
      <w:r>
        <w:rPr>
          <w:rFonts w:eastAsia="Arial Bold" w:asciiTheme="minorHAnsi" w:hAnsiTheme="minorHAnsi" w:cstheme="minorHAnsi"/>
          <w:sz w:val="24"/>
          <w:szCs w:val="24"/>
          <w:highlight w:val="none"/>
        </w:rPr>
      </w:r>
    </w:p>
    <w:p>
      <w:pPr>
        <w:pStyle w:val="925"/>
        <w:pBdr/>
        <w:tabs>
          <w:tab w:val="num" w:leader="none" w:pos="720"/>
        </w:tabs>
        <w:spacing w:after="0" w:line="240" w:lineRule="auto"/>
        <w:ind w:firstLine="0" w:left="720"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Arial Bold" w:asciiTheme="minorHAnsi" w:hAnsiTheme="minorHAnsi" w:cstheme="minorHAnsi"/>
          <w:sz w:val="24"/>
          <w:szCs w:val="24"/>
        </w:rPr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Style w:val="925"/>
        <w:pBdr/>
        <w:tabs>
          <w:tab w:val="num" w:leader="none" w:pos="720"/>
        </w:tabs>
        <w:spacing w:after="0" w:line="240" w:lineRule="auto"/>
        <w:ind w:firstLine="0" w:left="720"/>
        <w:rPr>
          <w:rFonts w:eastAsia="Arial Bold" w:asciiTheme="minorHAnsi" w:hAnsiTheme="minorHAnsi" w:cstheme="minorHAnsi"/>
          <w:sz w:val="24"/>
          <w:szCs w:val="24"/>
        </w:rPr>
      </w:pPr>
      <w:r>
        <w:rPr>
          <w:rFonts w:eastAsia="Arial Bold" w:asciiTheme="minorHAnsi" w:hAnsiTheme="minorHAnsi" w:cstheme="minorHAnsi"/>
          <w:sz w:val="24"/>
          <w:szCs w:val="24"/>
          <w:highlight w:val="none"/>
        </w:rPr>
      </w:r>
      <w:r>
        <w:rPr>
          <w:rFonts w:eastAsia="Arial Bold" w:asciiTheme="minorHAnsi" w:hAnsiTheme="minorHAnsi" w:cstheme="minorHAnsi"/>
          <w:sz w:val="24"/>
          <w:szCs w:val="24"/>
          <w:highlight w:val="none"/>
        </w:rPr>
      </w:r>
      <w:r>
        <w:rPr>
          <w:rFonts w:eastAsia="Arial Bold" w:asciiTheme="minorHAnsi" w:hAnsiTheme="minorHAnsi" w:cstheme="minorHAnsi"/>
          <w:sz w:val="24"/>
          <w:szCs w:val="24"/>
        </w:rPr>
      </w:r>
    </w:p>
    <w:p>
      <w:pPr>
        <w:pBdr/>
        <w:tabs>
          <w:tab w:val="left" w:leader="none" w:pos="720"/>
        </w:tabs>
        <w:spacing w:after="120"/>
        <w:ind/>
        <w:rPr>
          <w:rFonts w:ascii="Circular Pro Book" w:hAnsi="Circular Pro Book" w:eastAsia="TimesNewRomanPSMT" w:cs="Circular Pro Book"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Nom et prénom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du/de la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candidat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·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 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: </w:t>
      </w:r>
      <w:r>
        <w:rPr>
          <w:rFonts w:ascii="Circular Pro Book" w:hAnsi="Circular Pro Book" w:eastAsia="TimesNewRomanPSMT" w:cs="Circular Pro Book"/>
          <w:color w:val="00a282"/>
        </w:rPr>
      </w:r>
      <w:r>
        <w:rPr>
          <w:rFonts w:ascii="Circular Pro Book" w:hAnsi="Circular Pro Book" w:eastAsia="TimesNewRomanPSMT" w:cs="Circular Pro Book"/>
          <w:color w:val="00a282"/>
        </w:rPr>
      </w:r>
    </w:p>
    <w:p>
      <w:pPr>
        <w:pBdr/>
        <w:tabs>
          <w:tab w:val="left" w:leader="none" w:pos="4820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Adresse :  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Code postal :</w:t>
      </w:r>
      <w:r>
        <w:rPr>
          <w:rFonts w:eastAsia="TimesNewRomanPSMT" w:asciiTheme="minorHAnsi" w:hAnsiTheme="minorHAnsi" w:cstheme="minorHAnsi"/>
          <w:color w:val="000000"/>
        </w:rPr>
        <w:tab/>
        <w:t xml:space="preserve">Ville : </w:t>
      </w:r>
      <w:r>
        <w:rPr>
          <w:rFonts w:eastAsia="TimesNewRomanPSMT" w:asciiTheme="minorHAnsi" w:hAnsiTheme="minorHAnsi" w:cstheme="minorHAnsi"/>
          <w:color w:val="000000"/>
        </w:rPr>
        <w:tab/>
        <w:t xml:space="preserve">Pays :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4820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Courriel :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Tél :</w:t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  <w:t xml:space="preserve">Documents à intégrer dans le présent formulaire :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  <w:u w:val="single"/>
        </w:rPr>
      </w:r>
    </w:p>
    <w:p>
      <w:pPr>
        <w:pStyle w:val="926"/>
        <w:pBdr/>
        <w:tabs>
          <w:tab w:val="left" w:leader="none" w:pos="720"/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CV du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/de la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candidat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·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 (3 pages maximum)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Style w:val="926"/>
        <w:pBdr/>
        <w:tabs>
          <w:tab w:val="left" w:leader="none" w:pos="720"/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Projet de recherche personnel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du/de la 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candidat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·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 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(3 pages maximum + 2 pages maximum de bibliographie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  <w:t xml:space="preserve">)</w:t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pP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  <w:r>
        <w:rPr>
          <w:rFonts w:ascii="Circular Pro Book" w:hAnsi="Circular Pro Book" w:eastAsia="TimesNewRomanPS-BoldItalicMT" w:cs="Circular Pro Book"/>
          <w:b/>
          <w:bCs/>
          <w:i/>
          <w:iCs/>
          <w:color w:val="00a282"/>
        </w:rPr>
      </w:r>
    </w:p>
    <w:p>
      <w:pPr>
        <w:pStyle w:val="926"/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ascii="Circular Pro Book" w:hAnsi="Circular Pro Book" w:eastAsia="TimesNewRomanPSMT" w:cs="Circular Pro Book"/>
          <w:b/>
          <w:i/>
          <w:color w:val="00a282"/>
        </w:rPr>
      </w:pP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Positionnement du projet de recherche par rapport aux axes de recherche de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 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l’EUR 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ArTeC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 (1000 signes maximum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 — il est possible de rédiger ce texte directement dans le corps du formulaire</w:t>
      </w:r>
      <w:r>
        <w:rPr>
          <w:rFonts w:ascii="Circular Pro Book" w:hAnsi="Circular Pro Book" w:eastAsia="TimesNewRomanPSMT" w:cs="Circular Pro Book"/>
          <w:b/>
          <w:i/>
          <w:color w:val="00a282"/>
        </w:rPr>
        <w:t xml:space="preserve">)</w:t>
      </w:r>
      <w:r>
        <w:rPr>
          <w:rFonts w:ascii="Circular Pro Book" w:hAnsi="Circular Pro Book" w:eastAsia="TimesNewRomanPSMT" w:cs="Circular Pro Book"/>
          <w:b/>
          <w:i/>
          <w:color w:val="00a282"/>
        </w:rPr>
      </w:r>
      <w:r>
        <w:rPr>
          <w:rFonts w:ascii="Circular Pro Book" w:hAnsi="Circular Pro Book" w:eastAsia="TimesNewRomanPSMT" w:cs="Circular Pro Book"/>
          <w:b/>
          <w:i/>
          <w:color w:val="00a282"/>
        </w:rPr>
      </w:r>
    </w:p>
    <w:p>
      <w:pPr>
        <w:pStyle w:val="926"/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ascii="Circular Pro Book" w:hAnsi="Circular Pro Book" w:eastAsia="TimesNewRomanPSMT" w:cs="Circular Pro Book"/>
          <w:color w:val="00a282"/>
        </w:rPr>
      </w:pPr>
      <w:r>
        <w:rPr>
          <w:rFonts w:ascii="Circular Pro Book" w:hAnsi="Circular Pro Book" w:eastAsia="TimesNewRomanPSMT" w:cs="Circular Pro Book"/>
          <w:color w:val="00a282"/>
        </w:rPr>
      </w:r>
      <w:r>
        <w:rPr>
          <w:rFonts w:ascii="Circular Pro Book" w:hAnsi="Circular Pro Book" w:eastAsia="TimesNewRomanPSMT" w:cs="Circular Pro Book"/>
          <w:color w:val="00a282"/>
        </w:rPr>
      </w:r>
      <w:r>
        <w:rPr>
          <w:rFonts w:ascii="Circular Pro Book" w:hAnsi="Circular Pro Book" w:eastAsia="TimesNewRomanPSMT" w:cs="Circular Pro Book"/>
          <w:color w:val="00a282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Le sujet et la méthodolog</w:t>
      </w:r>
      <w:r>
        <w:rPr>
          <w:rFonts w:eastAsia="TimesNewRomanPSMT" w:asciiTheme="minorHAnsi" w:hAnsiTheme="minorHAnsi" w:cstheme="minorHAnsi"/>
          <w:color w:val="000000"/>
        </w:rPr>
        <w:t xml:space="preserve">ie devront s’inscrire dans </w:t>
      </w:r>
      <w:r>
        <w:rPr>
          <w:rFonts w:eastAsia="TimesNewRomanPSMT" w:asciiTheme="minorHAnsi" w:hAnsiTheme="minorHAnsi" w:cstheme="minorHAnsi"/>
          <w:color w:val="000000"/>
        </w:rPr>
        <w:t xml:space="preserve">au moins</w:t>
      </w:r>
      <w:r>
        <w:rPr>
          <w:rFonts w:eastAsia="TimesNewRomanPSMT" w:asciiTheme="minorHAnsi" w:hAnsiTheme="minorHAnsi" w:cstheme="minorHAnsi"/>
          <w:color w:val="000000"/>
        </w:rPr>
        <w:t xml:space="preserve"> un</w:t>
      </w:r>
      <w:r>
        <w:rPr>
          <w:rFonts w:eastAsia="TimesNewRomanPSMT" w:asciiTheme="minorHAnsi" w:hAnsiTheme="minorHAnsi" w:cstheme="minorHAnsi"/>
          <w:color w:val="000000"/>
        </w:rPr>
        <w:t xml:space="preserve"> des trois grands axes de l'EUR </w:t>
      </w:r>
      <w:r>
        <w:rPr>
          <w:rFonts w:eastAsia="TimesNewRomanPSMT" w:asciiTheme="minorHAnsi" w:hAnsiTheme="minorHAnsi" w:cstheme="minorHAnsi"/>
          <w:color w:val="000000"/>
        </w:rPr>
        <w:t xml:space="preserve">ArTeC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b/>
          <w:bCs/>
          <w:color w:val="000000"/>
        </w:rPr>
        <w:tab/>
        <w:t xml:space="preserve">1. La création comme activité de recherche</w:t>
      </w:r>
      <w:r>
        <w:rPr>
          <w:rFonts w:eastAsia="TimesNewRomanPSMT" w:asciiTheme="minorHAnsi" w:hAnsiTheme="minorHAnsi" w:cstheme="minorHAnsi"/>
          <w:b/>
          <w:bCs/>
          <w:color w:val="000000"/>
        </w:rPr>
      </w:r>
      <w:r>
        <w:rPr>
          <w:rFonts w:eastAsia="TimesNewRomanPS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b/>
          <w:bCs/>
          <w:color w:val="000000"/>
        </w:rPr>
        <w:tab/>
        <w:t xml:space="preserve">2. Nouveaux modes d’écriture</w:t>
      </w:r>
      <w:r>
        <w:rPr>
          <w:rFonts w:eastAsia="TimesNewRomanPSMT" w:asciiTheme="minorHAnsi" w:hAnsiTheme="minorHAnsi" w:cstheme="minorHAnsi"/>
          <w:b/>
          <w:bCs/>
          <w:color w:val="000000"/>
        </w:rPr>
        <w:t xml:space="preserve">s</w:t>
      </w:r>
      <w:r>
        <w:rPr>
          <w:rFonts w:eastAsia="TimesNewRomanPSMT" w:asciiTheme="minorHAnsi" w:hAnsiTheme="minorHAnsi" w:cstheme="minorHAnsi"/>
          <w:b/>
          <w:bCs/>
          <w:color w:val="000000"/>
        </w:rPr>
        <w:t xml:space="preserve"> et de publication</w:t>
      </w:r>
      <w:r>
        <w:rPr>
          <w:rFonts w:eastAsia="TimesNewRomanPSMT" w:asciiTheme="minorHAnsi" w:hAnsiTheme="minorHAnsi" w:cstheme="minorHAnsi"/>
          <w:b/>
          <w:bCs/>
          <w:color w:val="000000"/>
        </w:rPr>
        <w:t xml:space="preserve">s</w:t>
      </w:r>
      <w:r>
        <w:rPr>
          <w:rFonts w:eastAsia="TimesNewRomanPSMT" w:asciiTheme="minorHAnsi" w:hAnsiTheme="minorHAnsi" w:cstheme="minorHAnsi"/>
          <w:b/>
          <w:bCs/>
          <w:color w:val="000000"/>
        </w:rPr>
      </w:r>
      <w:r>
        <w:rPr>
          <w:rFonts w:eastAsia="TimesNewRomanPS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b/>
          <w:bCs/>
          <w:color w:val="000000"/>
        </w:rPr>
        <w:tab/>
        <w:t xml:space="preserve">3. Technologies et médiations humaines</w:t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Ces trois axes pourront </w:t>
      </w:r>
      <w:r>
        <w:rPr>
          <w:rFonts w:eastAsia="TimesNewRomanPSMT" w:asciiTheme="minorHAnsi" w:hAnsiTheme="minorHAnsi" w:cstheme="minorHAnsi"/>
          <w:color w:val="000000"/>
        </w:rPr>
        <w:t xml:space="preserve">int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ragir</w:t>
      </w:r>
      <w:r>
        <w:rPr>
          <w:rFonts w:eastAsia="TimesNewRomanPSMT" w:asciiTheme="minorHAnsi" w:hAnsiTheme="minorHAnsi" w:cstheme="minorHAnsi"/>
          <w:color w:val="000000"/>
        </w:rPr>
        <w:t xml:space="preserve"> avec les champs d'activités de recherche et d'expérimentation suivants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Expositions et performances comme outils et dispositifs de médiation 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œuvres comme publication scientifique 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Nouvelles formes d’écriture, nouveaux langages et culture du code 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L’héritage de la cybernétique, l’éthique du futur et l’âge du post-numérique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Approches artistiques de la critique sociale, de l’éthique et de l’écologie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</w:t>
      </w:r>
      <w:r>
        <w:rPr>
          <w:rFonts w:asciiTheme="minorHAnsi" w:hAnsiTheme="minorHAnsi" w:cstheme="minorHAnsi"/>
        </w:rPr>
        <w:t xml:space="preserve">réservation et conservation </w:t>
      </w:r>
      <w:r>
        <w:rPr>
          <w:rFonts w:asciiTheme="minorHAnsi" w:hAnsiTheme="minorHAnsi" w:cstheme="minorHAnsi"/>
        </w:rPr>
        <w:t xml:space="preserve">à l’ère </w:t>
      </w:r>
      <w:r>
        <w:rPr>
          <w:rFonts w:asciiTheme="minorHAnsi" w:hAnsiTheme="minorHAnsi" w:cstheme="minorHAnsi"/>
        </w:rPr>
        <w:t xml:space="preserve">du </w:t>
      </w:r>
      <w:r>
        <w:rPr>
          <w:rFonts w:asciiTheme="minorHAnsi" w:hAnsiTheme="minorHAnsi" w:cstheme="minorHAnsi"/>
        </w:rPr>
        <w:t xml:space="preserve">numérique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Approches créatives de la traduction </w:t>
      </w:r>
      <w:r>
        <w:rPr>
          <w:rFonts w:asciiTheme="minorHAnsi" w:hAnsiTheme="minorHAnsi" w:cstheme="minorHAnsi"/>
        </w:rPr>
        <w:t xml:space="preserve">–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activité créative </w:t>
      </w:r>
      <w:r>
        <w:rPr>
          <w:rFonts w:asciiTheme="minorHAnsi" w:hAnsiTheme="minorHAnsi" w:cstheme="minorHAnsi"/>
        </w:rPr>
        <w:t xml:space="preserve">et cognition 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médiation par la robotique et l’intelligence</w:t>
      </w:r>
      <w:r>
        <w:rPr>
          <w:rFonts w:asciiTheme="minorHAnsi" w:hAnsiTheme="minorHAnsi" w:cstheme="minorHAnsi"/>
        </w:rPr>
        <w:t xml:space="preserve"> artificielle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nouveaux dispositifs éducatifs et scientifiques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 et genre 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Scien</w:t>
      </w:r>
      <w:r>
        <w:rPr>
          <w:rFonts w:asciiTheme="minorHAnsi" w:hAnsiTheme="minorHAnsi" w:cstheme="minorHAnsi"/>
        </w:rPr>
        <w:t xml:space="preserve">ces de l’ingénierie et création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921"/>
        <w:widowControl w:val="true"/>
        <w:numPr>
          <w:ilvl w:val="0"/>
          <w:numId w:val="6"/>
        </w:num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Arts, sciences, technologies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widowControl w:val="true"/>
        <w:pBdr/>
        <w:spacing/>
        <w:ind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MT" w:cs="Circular Pro Book"/>
          <w:b/>
          <w:bCs/>
          <w:color w:val="00a282"/>
        </w:rPr>
        <w:br w:type="page" w:clear="all"/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Avis motivé du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/de la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 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tuteur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·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rice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 sur le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/la 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candidat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·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e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 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  <w:t xml:space="preserve">(1 page)</w:t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Bdr/>
        <w:tabs>
          <w:tab w:val="left" w:leader="none" w:pos="2835"/>
          <w:tab w:val="left" w:leader="none" w:pos="6379"/>
        </w:tabs>
        <w:spacing/>
        <w:ind w:left="720"/>
        <w:rPr>
          <w:rFonts w:ascii="Circular Pro Book" w:hAnsi="Circular Pro Book" w:eastAsia="TimesNewRomanPS-BoldMT" w:cs="Circular Pro Book"/>
          <w:b/>
          <w:bCs/>
          <w:color w:val="00a282"/>
        </w:rPr>
      </w:pP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  <w:r>
        <w:rPr>
          <w:rFonts w:ascii="Circular Pro Book" w:hAnsi="Circular Pro Book" w:eastAsia="TimesNewRomanPS-BoldMT" w:cs="Circular Pro Book"/>
          <w:b/>
          <w:bCs/>
          <w:color w:val="00a282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Université : 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Projet :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2835"/>
          <w:tab w:val="left" w:leader="none" w:pos="6237"/>
          <w:tab w:val="left" w:leader="none" w:pos="7513"/>
        </w:tabs>
        <w:spacing/>
        <w:ind/>
        <w:rPr>
          <w:rFonts w:eastAsia="TimesNewRomanPSMT" w:asciiTheme="minorHAnsi" w:hAnsiTheme="minorHAnsi" w:cstheme="minorHAnsi"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Laboratoire : </w:t>
      </w:r>
      <w:r>
        <w:rPr>
          <w:rFonts w:eastAsia="TimesNewRomanPSMT" w:asciiTheme="minorHAnsi" w:hAnsiTheme="minorHAnsi" w:cstheme="minorHAnsi"/>
          <w:color w:val="000000"/>
        </w:rPr>
      </w:r>
      <w:r>
        <w:rPr>
          <w:rFonts w:eastAsia="TimesNewRomanPSMT" w:asciiTheme="minorHAnsi" w:hAnsiTheme="minorHAnsi" w:cstheme="minorHAnsi"/>
          <w:color w:val="000000"/>
        </w:rPr>
      </w:r>
    </w:p>
    <w:p>
      <w:pPr>
        <w:pBdr/>
        <w:tabs>
          <w:tab w:val="left" w:leader="none" w:pos="4820"/>
          <w:tab w:val="left" w:leader="none" w:pos="7513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Tuteur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rice</w:t>
      </w:r>
      <w:r>
        <w:rPr>
          <w:rFonts w:eastAsia="TimesNewRomanPSMT" w:asciiTheme="minorHAnsi" w:hAnsiTheme="minorHAnsi" w:cstheme="minorHAnsi"/>
          <w:color w:val="000000"/>
        </w:rPr>
        <w:t xml:space="preserve"> :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Mentionner </w:t>
      </w:r>
      <w:r>
        <w:rPr>
          <w:rFonts w:eastAsia="TimesNewRomanPSMT" w:asciiTheme="minorHAnsi" w:hAnsiTheme="minorHAnsi" w:cstheme="minorHAnsi"/>
          <w:color w:val="000000"/>
        </w:rPr>
        <w:t xml:space="preserve">éventuellement </w:t>
      </w:r>
      <w:r>
        <w:rPr>
          <w:rFonts w:eastAsia="TimesNewRomanPSMT" w:asciiTheme="minorHAnsi" w:hAnsiTheme="minorHAnsi" w:cstheme="minorHAnsi"/>
          <w:color w:val="000000"/>
        </w:rPr>
        <w:t xml:space="preserve">les t</w:t>
      </w:r>
      <w:r>
        <w:rPr>
          <w:rFonts w:eastAsia="TimesNewRomanPSMT" w:asciiTheme="minorHAnsi" w:hAnsiTheme="minorHAnsi" w:cstheme="minorHAnsi"/>
          <w:color w:val="000000"/>
        </w:rPr>
        <w:t xml:space="preserve">ravaux de recherche confiés au</w:t>
      </w:r>
      <w:r>
        <w:rPr>
          <w:rFonts w:eastAsia="TimesNewRomanPSMT" w:asciiTheme="minorHAnsi" w:hAnsiTheme="minorHAnsi" w:cstheme="minorHAnsi"/>
          <w:color w:val="000000"/>
        </w:rPr>
        <w:t xml:space="preserve">/à la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post-doctorant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.</w:t>
      </w:r>
      <w:r>
        <w:rPr>
          <w:rFonts w:eastAsia="TimesNewRomanPSMT" w:asciiTheme="minorHAnsi" w:hAnsiTheme="minorHAnsi" w:cstheme="minorHAnsi"/>
          <w:color w:val="000000"/>
        </w:rPr>
        <w:t xml:space="preserve"> Rappeler brièvement le cadre général de la recherche et préciser les missions, les tâches, le planning, les résultat</w:t>
      </w:r>
      <w:r>
        <w:rPr>
          <w:rFonts w:eastAsia="TimesNewRomanPSMT" w:asciiTheme="minorHAnsi" w:hAnsiTheme="minorHAnsi" w:cstheme="minorHAnsi"/>
          <w:color w:val="000000"/>
        </w:rPr>
        <w:t xml:space="preserve">s attendus, les livrables etc., et la j</w:t>
      </w:r>
      <w:r>
        <w:rPr>
          <w:rFonts w:eastAsia="TimesNewRomanPSMT" w:asciiTheme="minorHAnsi" w:hAnsiTheme="minorHAnsi" w:cstheme="minorHAnsi"/>
          <w:color w:val="000000"/>
        </w:rPr>
        <w:t xml:space="preserve">ustification scientifique du be</w:t>
      </w:r>
      <w:r>
        <w:rPr>
          <w:rFonts w:eastAsia="TimesNewRomanPSMT" w:asciiTheme="minorHAnsi" w:hAnsiTheme="minorHAnsi" w:cstheme="minorHAnsi"/>
          <w:color w:val="000000"/>
        </w:rPr>
        <w:t xml:space="preserve">soin d’</w:t>
      </w:r>
      <w:r>
        <w:rPr>
          <w:rFonts w:eastAsia="TimesNewRomanPSMT" w:asciiTheme="minorHAnsi" w:hAnsiTheme="minorHAnsi" w:cstheme="minorHAnsi"/>
          <w:color w:val="000000"/>
        </w:rPr>
        <w:t xml:space="preserve">u</w:t>
      </w:r>
      <w:r>
        <w:rPr>
          <w:rFonts w:eastAsia="TimesNewRomanPSMT" w:asciiTheme="minorHAnsi" w:hAnsiTheme="minorHAnsi" w:cstheme="minorHAnsi"/>
          <w:color w:val="000000"/>
        </w:rPr>
        <w:t xml:space="preserve">n·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post-doctorant</w:t>
      </w:r>
      <w:r>
        <w:rPr>
          <w:rFonts w:eastAsia="TimesNewRomanPSMT" w:asciiTheme="minorHAnsi" w:hAnsiTheme="minorHAnsi" w:cstheme="minorHAnsi"/>
          <w:color w:val="000000"/>
        </w:rPr>
        <w:t xml:space="preserve">·</w:t>
      </w:r>
      <w:r>
        <w:rPr>
          <w:rFonts w:eastAsia="TimesNewRomanPSMT" w:asciiTheme="minorHAnsi" w:hAnsiTheme="minorHAnsi" w:cstheme="minorHAnsi"/>
          <w:color w:val="000000"/>
        </w:rPr>
        <w:t xml:space="preserve">e</w:t>
      </w:r>
      <w:r>
        <w:rPr>
          <w:rFonts w:eastAsia="TimesNewRomanPSMT" w:asciiTheme="minorHAnsi" w:hAnsiTheme="minorHAnsi" w:cstheme="minorHAnsi"/>
          <w:color w:val="000000"/>
        </w:rPr>
        <w:t xml:space="preserve"> dans </w:t>
      </w:r>
      <w:r>
        <w:rPr>
          <w:rFonts w:eastAsia="TimesNewRomanPSMT" w:asciiTheme="minorHAnsi" w:hAnsiTheme="minorHAnsi" w:cstheme="minorHAnsi"/>
          <w:color w:val="000000"/>
        </w:rPr>
        <w:t xml:space="preserve">l’</w:t>
      </w:r>
      <w:r>
        <w:rPr>
          <w:rFonts w:eastAsia="TimesNewRomanPSMT" w:asciiTheme="minorHAnsi" w:hAnsiTheme="minorHAnsi" w:cstheme="minorHAnsi"/>
          <w:color w:val="000000"/>
        </w:rPr>
        <w:t xml:space="preserve">un des projets du laboratoire.</w:t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MT" w:asciiTheme="minorHAnsi" w:hAnsiTheme="minorHAnsi" w:cstheme="minorHAnsi"/>
          <w:b/>
          <w:bCs/>
          <w:color w:val="000000"/>
        </w:rPr>
      </w:pP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  <w:r>
        <w:rPr>
          <w:rFonts w:eastAsia="TimesNewRomanPS-BoldMT" w:asciiTheme="minorHAnsi" w:hAnsiTheme="minorHAnsi" w:cstheme="minorHAnsi"/>
          <w:b/>
          <w:b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MT" w:asciiTheme="minorHAnsi" w:hAnsiTheme="minorHAnsi" w:cstheme="minorHAnsi"/>
          <w:color w:val="000000"/>
        </w:rPr>
        <w:t xml:space="preserve">Signature du</w:t>
      </w:r>
      <w:r>
        <w:rPr>
          <w:rFonts w:eastAsia="TimesNewRomanPSMT" w:asciiTheme="minorHAnsi" w:hAnsiTheme="minorHAnsi" w:cstheme="minorHAnsi"/>
          <w:color w:val="000000"/>
        </w:rPr>
        <w:t xml:space="preserve">/de la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tuteur</w:t>
      </w:r>
      <w:r>
        <w:rPr>
          <w:rFonts w:eastAsia="TimesNewRomanPSMT" w:asciiTheme="minorHAnsi" w:hAnsiTheme="minorHAnsi" w:cstheme="minorHAnsi"/>
          <w:color w:val="000000"/>
        </w:rPr>
        <w:t xml:space="preserve">/</w:t>
      </w:r>
      <w:r>
        <w:rPr>
          <w:rFonts w:eastAsia="TimesNewRomanPS-BoldItalicMT" w:asciiTheme="minorHAnsi" w:hAnsiTheme="minorHAnsi" w:cstheme="minorHAnsi"/>
          <w:bCs/>
          <w:iCs/>
          <w:color w:val="000000"/>
        </w:rPr>
        <w:t xml:space="preserve">t</w:t>
      </w:r>
      <w:r>
        <w:rPr>
          <w:rFonts w:eastAsia="TimesNewRomanPS-BoldItalicMT" w:asciiTheme="minorHAnsi" w:hAnsiTheme="minorHAnsi" w:cstheme="minorHAnsi"/>
          <w:bCs/>
          <w:iCs/>
          <w:color w:val="000000"/>
        </w:rPr>
        <w:t xml:space="preserve">rice</w:t>
      </w:r>
      <w:r>
        <w:rPr>
          <w:rFonts w:eastAsia="TimesNewRomanPS-BoldItalicMT" w:asciiTheme="minorHAnsi" w:hAnsiTheme="minorHAnsi" w:cstheme="minorHAnsi"/>
          <w:bCs/>
          <w:iCs/>
          <w:color w:val="000000"/>
        </w:rPr>
        <w:t xml:space="preserve"> 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  <w:tab/>
      </w:r>
      <w:r>
        <w:rPr>
          <w:rFonts w:eastAsia="TimesNewRomanPSMT" w:asciiTheme="minorHAnsi" w:hAnsiTheme="minorHAnsi" w:cstheme="minorHAnsi"/>
          <w:color w:val="000000"/>
        </w:rPr>
        <w:t xml:space="preserve">Signature du</w:t>
      </w:r>
      <w:r>
        <w:rPr>
          <w:rFonts w:eastAsia="TimesNewRomanPSMT" w:asciiTheme="minorHAnsi" w:hAnsiTheme="minorHAnsi" w:cstheme="minorHAnsi"/>
          <w:color w:val="000000"/>
        </w:rPr>
        <w:t xml:space="preserve">/de la</w:t>
      </w:r>
      <w:r>
        <w:rPr>
          <w:rFonts w:eastAsia="TimesNewRomanPSMT" w:asciiTheme="minorHAnsi" w:hAnsiTheme="minorHAnsi" w:cstheme="minorHAnsi"/>
          <w:color w:val="000000"/>
        </w:rPr>
        <w:t xml:space="preserve"> </w:t>
      </w:r>
      <w:r>
        <w:rPr>
          <w:rFonts w:eastAsia="TimesNewRomanPSMT" w:asciiTheme="minorHAnsi" w:hAnsiTheme="minorHAnsi" w:cstheme="minorHAnsi"/>
          <w:color w:val="000000"/>
        </w:rPr>
        <w:t xml:space="preserve">candidat</w:t>
      </w:r>
      <w:r>
        <w:rPr>
          <w:rFonts w:eastAsia="TimesNewRomanPSMT" w:asciiTheme="minorHAnsi" w:hAnsiTheme="minorHAnsi" w:cstheme="minorHAnsi"/>
          <w:color w:val="000000"/>
        </w:rPr>
        <w:t xml:space="preserve">.e</w:t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2835"/>
          <w:tab w:val="left" w:leader="none" w:pos="6379"/>
        </w:tabs>
        <w:spacing/>
        <w:ind/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pP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  <w:r>
        <w:rPr>
          <w:rFonts w:eastAsia="TimesNewRomanPS-BoldItalicMT" w:asciiTheme="minorHAnsi" w:hAnsiTheme="minorHAnsi" w:cstheme="minorHAnsi"/>
          <w:b/>
          <w:bCs/>
          <w:i/>
          <w:i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 w:hanging="560" w:left="560"/>
        <w:jc w:val="center"/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</w:pPr>
      <w:r>
        <w:rPr>
          <w:rFonts w:eastAsia="TimesNewRomanPSMT" w:asciiTheme="minorHAnsi" w:hAnsiTheme="minorHAnsi" w:cstheme="minorHAnsi"/>
          <w:color w:val="000000"/>
        </w:rPr>
        <w:br w:type="page" w:clear="all"/>
      </w:r>
      <w:r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  <w:t xml:space="preserve">Modalités</w:t>
      </w:r>
      <w:r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</w:r>
      <w:r>
        <w:rPr>
          <w:rFonts w:eastAsia="TimesNewRomanPSMT" w:cs="TimesNewRomanPSMT" w:asciiTheme="minorHAnsi" w:hAnsiTheme="minorHAnsi"/>
          <w:b/>
          <w:color w:val="000000"/>
          <w:sz w:val="28"/>
          <w:szCs w:val="28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 w:hanging="560" w:left="560"/>
        <w:jc w:val="center"/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pPr>
      <w:r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r>
      <w:r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r>
      <w:r>
        <w:rPr>
          <w:rFonts w:eastAsia="TimesNewRomanPS-BoldMT" w:cs="TimesNewRomanPS-BoldMT" w:asciiTheme="minorHAnsi" w:hAnsiTheme="minorHAnsi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</w:rPr>
      </w:pPr>
      <w:r>
        <w:rPr>
          <w:rFonts w:eastAsia="TimesNewRomanPSMT" w:cs="TimesNewRomanPSMT" w:asciiTheme="minorHAnsi" w:hAnsiTheme="minorHAnsi"/>
          <w:bCs/>
          <w:color w:val="000000"/>
        </w:rPr>
      </w:r>
      <w:r>
        <w:rPr>
          <w:rFonts w:eastAsia="TimesNewRomanPSMT" w:cs="TimesNewRomanPSMT" w:asciiTheme="minorHAnsi" w:hAnsiTheme="minorHAnsi"/>
          <w:bCs/>
          <w:color w:val="000000"/>
        </w:rPr>
      </w:r>
      <w:r>
        <w:rPr>
          <w:rFonts w:eastAsia="TimesNewRomanPSMT" w:cs="TimesNewRomanPS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Conditions de candidature : 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</w:p>
    <w:p>
      <w:pPr>
        <w:pBdr/>
        <w:tabs>
          <w:tab w:val="left" w:leader="none" w:pos="720"/>
        </w:tabs>
        <w:spacing/>
        <w:ind w:firstLine="0" w:left="709"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  <w:highlight w:val="none"/>
        </w:rPr>
      </w:r>
      <w:r>
        <w:rPr>
          <w:rFonts w:eastAsia="TimesNewRomanPS-BoldMT" w:cs="TimesNewRomanPS-BoldMT" w:asciiTheme="minorHAnsi" w:hAnsiTheme="minorHAnsi"/>
          <w:bCs/>
          <w:color w:val="000000"/>
          <w:highlight w:val="none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Inscrire le projet postdoctora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l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au sein de l’un des laboratoires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de l’EUR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ArTeC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3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Avoir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soutenu sa thèse avant le 31 décembre 2025, et après le 1</w:t>
      </w:r>
      <w:r>
        <w:rPr>
          <w:rFonts w:eastAsia="TimesNewRomanPS-BoldMT" w:cs="TimesNewRomanPS-BoldMT" w:asciiTheme="minorHAnsi" w:hAnsiTheme="minorHAnsi"/>
          <w:bCs/>
          <w:color w:val="000000"/>
          <w:vertAlign w:val="superscript"/>
        </w:rPr>
        <w:t xml:space="preserve">er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septembre 20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21.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Bdr/>
        <w:tabs>
          <w:tab w:val="left" w:leader="none" w:pos="720"/>
        </w:tabs>
        <w:spacing/>
        <w:ind w:left="720"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720"/>
        </w:tabs>
        <w:spacing/>
        <w:ind w:left="720"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NB : Il n’y a pas de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limite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d’âge pour candidater.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</w:rPr>
      </w:pPr>
      <w:r>
        <w:rPr>
          <w:rFonts w:eastAsia="TimesNewRomanPSMT" w:cs="TimesNewRomanPSMT" w:asciiTheme="minorHAnsi" w:hAnsiTheme="minorHAnsi"/>
          <w:bCs/>
          <w:color w:val="000000"/>
        </w:rPr>
      </w:r>
      <w:r>
        <w:rPr>
          <w:rFonts w:eastAsia="TimesNewRomanPSMT" w:cs="TimesNewRomanPSMT" w:asciiTheme="minorHAnsi" w:hAnsiTheme="minorHAnsi"/>
          <w:bCs/>
          <w:color w:val="000000"/>
        </w:rPr>
      </w:r>
      <w:r>
        <w:rPr>
          <w:rFonts w:eastAsia="TimesNewRomanPSMT" w:cs="TimesNewRomanPS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Constitution du dossier de candidature :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Le formulaire de candidature, dûment rempli et signé par le</w:t>
      </w:r>
      <w:r>
        <w:rPr>
          <w:rFonts w:eastAsia="TimesNewRomanPS-BoldMT" w:cs="TimesNewRomanPS-BoldMT" w:asciiTheme="minorHAnsi" w:hAnsiTheme="minorHAnsi"/>
          <w:color w:val="000000"/>
        </w:rPr>
        <w:t xml:space="preserve">/la</w:t>
      </w:r>
      <w:r>
        <w:rPr>
          <w:rFonts w:eastAsia="TimesNewRomanPS-BoldMT" w:cs="TimesNewRomanPS-BoldMT" w:asciiTheme="minorHAnsi" w:hAnsiTheme="minorHAnsi"/>
          <w:color w:val="000000"/>
        </w:rPr>
        <w:t xml:space="preserve"> </w:t>
      </w:r>
      <w:r>
        <w:rPr>
          <w:rFonts w:eastAsia="TimesNewRomanPS-BoldMT" w:cs="TimesNewRomanPS-BoldMT" w:asciiTheme="minorHAnsi" w:hAnsiTheme="minorHAnsi"/>
          <w:color w:val="000000"/>
        </w:rPr>
        <w:t xml:space="preserve">candidat</w:t>
      </w:r>
      <w:r>
        <w:rPr>
          <w:rFonts w:eastAsia="TimesNewRomanPS-BoldMT" w:cs="TimesNewRomanPS-BoldMT" w:asciiTheme="minorHAnsi" w:hAnsiTheme="minorHAnsi"/>
          <w:color w:val="000000"/>
        </w:rPr>
        <w:t xml:space="preserve">·</w:t>
      </w:r>
      <w:r>
        <w:rPr>
          <w:rFonts w:eastAsia="TimesNewRomanPS-BoldMT" w:cs="TimesNewRomanPS-BoldMT" w:asciiTheme="minorHAnsi" w:hAnsiTheme="minorHAnsi"/>
          <w:color w:val="000000"/>
        </w:rPr>
        <w:t xml:space="preserve">e</w:t>
      </w:r>
      <w:r>
        <w:rPr>
          <w:rFonts w:eastAsia="TimesNewRomanPS-BoldMT" w:cs="TimesNewRomanPS-BoldMT" w:asciiTheme="minorHAnsi" w:hAnsiTheme="minorHAnsi"/>
          <w:color w:val="000000"/>
        </w:rPr>
        <w:t xml:space="preserve"> et par le </w:t>
      </w:r>
      <w:r>
        <w:rPr>
          <w:rFonts w:eastAsia="TimesNewRomanPS-BoldMT" w:cs="TimesNewRomanPS-BoldMT" w:asciiTheme="minorHAnsi" w:hAnsiTheme="minorHAnsi"/>
          <w:color w:val="000000"/>
        </w:rPr>
        <w:t xml:space="preserve">tuteur</w:t>
      </w:r>
      <w:r>
        <w:rPr>
          <w:rFonts w:eastAsia="TimesNewRomanPS-BoldMT" w:cs="TimesNewRomanPS-BoldMT" w:asciiTheme="minorHAnsi" w:hAnsiTheme="minorHAnsi"/>
          <w:color w:val="000000"/>
        </w:rPr>
        <w:t xml:space="preserve">/</w:t>
      </w:r>
      <w:r>
        <w:rPr>
          <w:rFonts w:eastAsia="TimesNewRomanPS-BoldMT" w:cs="TimesNewRomanPS-BoldMT" w:asciiTheme="minorHAnsi" w:hAnsiTheme="minorHAnsi"/>
          <w:color w:val="000000"/>
        </w:rPr>
        <w:t xml:space="preserve">trice</w:t>
      </w:r>
      <w:r>
        <w:rPr>
          <w:rFonts w:eastAsia="TimesNewRomanPS-BoldMT" w:cs="TimesNewRomanPS-BoldMT" w:asciiTheme="minorHAnsi" w:hAnsiTheme="minorHAnsi"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Une lettre de candidature et de motivation</w:t>
      </w:r>
      <w:r>
        <w:rPr>
          <w:rFonts w:eastAsia="TimesNewRomanPS-BoldMT" w:cs="TimesNewRomanPS-BoldMT" w:asciiTheme="minorHAnsi" w:hAnsiTheme="minorHAnsi"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Un projet de recherche</w:t>
      </w:r>
      <w:r>
        <w:rPr>
          <w:rFonts w:eastAsia="TimesNewRomanPS-BoldMT" w:cs="TimesNewRomanPS-BoldMT" w:asciiTheme="minorHAnsi" w:hAnsiTheme="minorHAnsi"/>
          <w:i/>
          <w:color w:val="000000"/>
        </w:rPr>
        <w:t xml:space="preserve"> (</w:t>
      </w:r>
      <w:r>
        <w:rPr>
          <w:rFonts w:eastAsia="TimesNewRomanPS-BoldMT" w:cs="TimesNewRomanPS-BoldMT" w:asciiTheme="minorHAnsi" w:hAnsiTheme="minorHAnsi"/>
          <w:bCs/>
          <w:i/>
          <w:iCs/>
          <w:color w:val="000000"/>
        </w:rPr>
        <w:t xml:space="preserve">3 pages maximum + 2 pages maximum de bibliographie</w:t>
      </w:r>
      <w:r>
        <w:rPr>
          <w:rFonts w:eastAsia="TimesNewRomanPS-BoldMT" w:cs="TimesNewRomanPS-BoldMT" w:asciiTheme="minorHAnsi" w:hAnsiTheme="minorHAnsi"/>
          <w:i/>
          <w:color w:val="000000"/>
        </w:rPr>
        <w:t xml:space="preserve">)</w:t>
      </w:r>
      <w:r>
        <w:rPr>
          <w:rFonts w:eastAsia="TimesNewRomanPS-BoldMT" w:cs="TimesNewRomanPS-BoldMT" w:asciiTheme="minorHAnsi" w:hAnsiTheme="minorHAnsi"/>
          <w:i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  <w:highlight w:val="none"/>
        </w:rPr>
        <w:t xml:space="preserve">Un calendrier de travail</w:t>
      </w:r>
      <w:r>
        <w:rPr>
          <w:rFonts w:eastAsia="TimesNewRomanPS-BoldMT" w:cs="TimesNewRomanPS-BoldMT" w:asciiTheme="minorHAnsi" w:hAnsiTheme="minorHAnsi"/>
          <w:color w:val="000000"/>
          <w:highlight w:val="none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  <w:highlight w:val="none"/>
        </w:rPr>
      </w:r>
    </w:p>
    <w:p>
      <w:pPr>
        <w:pStyle w:val="926"/>
        <w:numPr>
          <w:ilvl w:val="0"/>
          <w:numId w:val="1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Rapport de thèse (ou équivalent si doctorat étranger)</w:t>
      </w:r>
      <w:r>
        <w:rPr>
          <w:rFonts w:eastAsia="TimesNewRomanPS-BoldMT" w:cs="TimesNewRomanPS-BoldMT" w:asciiTheme="minorHAnsi" w:hAnsiTheme="minorHAnsi"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4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color w:val="000000"/>
        </w:rPr>
        <w:t xml:space="preserve">Tout document (publications, etc.) qualifiant la candidature</w:t>
      </w:r>
      <w:r>
        <w:rPr>
          <w:rFonts w:eastAsia="TimesNewRomanPS-BoldMT" w:cs="TimesNewRomanPS-BoldMT" w:asciiTheme="minorHAnsi" w:hAnsiTheme="minorHAnsi"/>
          <w:color w:val="000000"/>
        </w:rPr>
        <w:t xml:space="preserve">.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Critères d’évaluation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 des projets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  <w:t xml:space="preserve"> :</w:t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  <w:r>
        <w:rPr>
          <w:rFonts w:eastAsia="TimesNewRomanPSMT" w:cs="TimesNewRomanPSMT" w:asciiTheme="minorHAnsi" w:hAnsiTheme="minorHAnsi"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Style w:val="926"/>
        <w:numPr>
          <w:ilvl w:val="0"/>
          <w:numId w:val="1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Originalité, importance et qualité du projet scientifique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Style w:val="926"/>
        <w:numPr>
          <w:ilvl w:val="0"/>
          <w:numId w:val="1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Excellence du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/de la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candidat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·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Adéqu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ation aux priorités d’ArTeC et de ses équipes affiliées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5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  <w:t xml:space="preserve">I</w:t>
      </w:r>
      <w:r>
        <w:rPr>
          <w:rFonts w:eastAsia="Times New Roman" w:cs="Times New Roman" w:asciiTheme="minorHAnsi" w:hAnsiTheme="minorHAnsi"/>
          <w:color w:val="000000"/>
          <w:lang w:eastAsia="fr-FR" w:bidi="ar-SA"/>
        </w:rPr>
        <w:t xml:space="preserve">ntérêt et qualité du ou des livrables et des actions proposées dans le cadre d'</w:t>
      </w:r>
      <w:r>
        <w:rPr>
          <w:rFonts w:eastAsia="Times New Roman" w:cs="Times New Roman" w:asciiTheme="minorHAnsi" w:hAnsiTheme="minorHAnsi"/>
          <w:color w:val="000000"/>
          <w:lang w:eastAsia="fr-FR" w:bidi="ar-SA"/>
        </w:rPr>
        <w:t xml:space="preserve">ArTeC</w:t>
      </w:r>
      <w:r>
        <w:rPr>
          <w:rFonts w:eastAsia="Times New Roman" w:cs="Times New Roman" w:asciiTheme="minorHAnsi" w:hAnsiTheme="minorHAnsi"/>
          <w:color w:val="000000"/>
          <w:lang w:eastAsia="fr-FR" w:bidi="ar-SA"/>
        </w:rPr>
        <w:t xml:space="preserve">.</w:t>
      </w: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  <w:u w:val="single"/>
        </w:rPr>
      </w:pPr>
      <w:r>
        <w:rPr>
          <w:rFonts w:eastAsia="TimesNewRomanPSMT" w:cs="TimesNewRomanPSMT" w:asciiTheme="minorHAnsi" w:hAnsiTheme="minorHAnsi"/>
          <w:color w:val="000000"/>
          <w:u w:val="single"/>
        </w:rPr>
        <w:t xml:space="preserve">Calendrier du concours :</w:t>
      </w:r>
      <w:r>
        <w:rPr>
          <w:rFonts w:eastAsia="TimesNewRomanPSMT" w:cs="TimesNewRomanPSMT" w:asciiTheme="minorHAnsi" w:hAnsiTheme="minorHAnsi"/>
          <w:color w:val="000000"/>
          <w:u w:val="single"/>
        </w:rPr>
      </w:r>
      <w:r>
        <w:rPr>
          <w:rFonts w:eastAsia="TimesNewRomanPSMT" w:cs="TimesNewRomanPSMT" w:asciiTheme="minorHAnsi" w:hAnsiTheme="minorHAnsi"/>
          <w:color w:val="000000"/>
          <w:u w:val="single"/>
        </w:rPr>
      </w:r>
    </w:p>
    <w:p>
      <w:pPr>
        <w:pBdr/>
        <w:tabs>
          <w:tab w:val="left" w:leader="none" w:pos="720"/>
        </w:tabs>
        <w:spacing/>
        <w:ind w:firstLine="0" w:left="0"/>
        <w:jc w:val="both"/>
        <w:rPr>
          <w:rFonts w:eastAsia="TimesNewRomanPS-BoldMT" w:cs="TimesNewRomanPS-BoldMT" w:asciiTheme="minorHAnsi" w:hAnsiTheme="minorHAnsi"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  <w:highlight w:val="none"/>
        </w:rPr>
      </w:r>
      <w:r>
        <w:rPr>
          <w:rFonts w:eastAsia="TimesNewRomanPS-BoldMT" w:cs="TimesNewRomanPS-BoldMT" w:asciiTheme="minorHAnsi" w:hAnsiTheme="minorHAnsi"/>
          <w:bCs/>
          <w:color w:val="000000"/>
          <w:highlight w:val="none"/>
        </w:rPr>
      </w:r>
      <w:r>
        <w:rPr>
          <w:rFonts w:eastAsia="TimesNewRomanPS-BoldMT" w:cs="TimesNewRomanPS-BoldMT" w:asciiTheme="minorHAnsi" w:hAnsiTheme="minorHAnsi"/>
          <w:color w:val="000000"/>
        </w:rPr>
      </w:r>
    </w:p>
    <w:p>
      <w:pPr>
        <w:pStyle w:val="926"/>
        <w:numPr>
          <w:ilvl w:val="0"/>
          <w:numId w:val="16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color w:val="000000"/>
          <w:highlight w:val="none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Publicati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on de l’offre 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: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6 janvier 2026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color w:val="000000"/>
          <w:highlight w:val="none"/>
        </w:rPr>
      </w:r>
    </w:p>
    <w:p>
      <w:pPr>
        <w:pStyle w:val="926"/>
        <w:numPr>
          <w:ilvl w:val="0"/>
          <w:numId w:val="16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Date limite pour transmettre sa candidature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:</w:t>
      </w:r>
      <w:r>
        <w:rPr>
          <w:rFonts w:eastAsia="TimesNewRomanPS-BoldMT" w:cs="TimesNewRomanPS-BoldMT" w:asciiTheme="minorHAnsi" w:hAnsiTheme="minorHAnsi"/>
          <w:bCs/>
        </w:rPr>
        <w:t xml:space="preserve"> 02</w:t>
      </w:r>
      <w:r>
        <w:rPr>
          <w:rFonts w:eastAsia="TimesNewRomanPS-BoldMT" w:cs="TimesNewRomanPS-BoldMT" w:asciiTheme="minorHAnsi" w:hAnsiTheme="minorHAnsi"/>
          <w:bCs/>
        </w:rPr>
        <w:t xml:space="preserve"> mars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202</w:t>
      </w:r>
      <w:r>
        <w:rPr>
          <w:rFonts w:eastAsia="TimesNewRomanPS-BoldMT" w:cs="TimesNewRomanPS-BoldMT" w:asciiTheme="minorHAnsi" w:hAnsiTheme="minorHAnsi"/>
          <w:bCs/>
        </w:rPr>
        <w:t xml:space="preserve">6 à midi, e</w:t>
      </w:r>
      <w:r>
        <w:rPr>
          <w:rFonts w:eastAsia="TimesNewRomanPS-BoldMT" w:cs="TimesNewRomanPS-BoldMT" w:asciiTheme="minorHAnsi" w:hAnsiTheme="minorHAnsi"/>
          <w:bCs/>
        </w:rPr>
        <w:t xml:space="preserve">n déposant son dossier</w:t>
      </w:r>
      <w:r>
        <w:rPr>
          <w:rFonts w:eastAsia="TimesNewRomanPS-BoldMT" w:cs="TimesNewRomanPS-BoldMT" w:asciiTheme="minorHAnsi" w:hAnsiTheme="minorHAnsi"/>
          <w:bCs/>
        </w:rPr>
        <w:t xml:space="preserve"> au moyen du lien dédié :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</w:t>
      </w:r>
      <w:hyperlink r:id="rId12" w:tooltip="https://kdrive.eur-artec.fr/app/collaborate/1045789/5308535f-3898-4e83-924d-c75465b0fc97" w:history="1">
        <w:r>
          <w:rPr>
            <w:rStyle w:val="919"/>
            <w:rFonts w:eastAsia="TimesNewRomanPS-BoldMT" w:cs="TimesNewRomanPS-BoldMT" w:asciiTheme="minorHAnsi" w:hAnsiTheme="minorHAnsi"/>
            <w:bCs/>
          </w:rPr>
        </w:r>
        <w:r>
          <w:rPr>
            <w:rStyle w:val="919"/>
            <w:rFonts w:eastAsia="TimesNewRomanPS-BoldMT" w:cs="TimesNewRomanPS-BoldMT" w:asciiTheme="minorHAnsi" w:hAnsiTheme="minorHAnsi"/>
            <w:b/>
          </w:rPr>
          <w:t xml:space="preserve">Boîte de dépôt</w:t>
        </w:r>
        <w:r>
          <w:rPr>
            <w:rStyle w:val="919"/>
            <w:rFonts w:eastAsia="TimesNewRomanPS-BoldMT" w:cs="TimesNewRomanPS-BoldMT" w:asciiTheme="minorHAnsi" w:hAnsiTheme="minorHAnsi"/>
            <w:b/>
          </w:rPr>
          <w:t xml:space="preserve"> </w:t>
        </w:r>
        <w:r>
          <w:rPr>
            <w:rStyle w:val="919"/>
            <w:rFonts w:eastAsia="TimesNewRomanPS-BoldMT" w:cs="TimesNewRomanPS-BoldMT" w:asciiTheme="minorHAnsi" w:hAnsiTheme="minorHAnsi"/>
            <w:b/>
          </w:rPr>
          <w:t xml:space="preserve">| Postdoctorat</w:t>
        </w:r>
      </w:hyperlink>
      <w:r>
        <w:rPr>
          <w:rFonts w:eastAsia="TimesNewRomanPS-BoldMT" w:cs="TimesNewRomanPS-BoldMT" w:asciiTheme="minorHAnsi" w:hAnsiTheme="minorHAnsi"/>
          <w:b/>
          <w:color w:val="000000"/>
        </w:rPr>
        <w:t xml:space="preserve">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Style w:val="926"/>
        <w:numPr>
          <w:ilvl w:val="0"/>
          <w:numId w:val="16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-BoldMT" w:cs="TimesNewRomanPS-BoldMT" w:asciiTheme="minorHAnsi" w:hAnsiTheme="minorHAnsi"/>
          <w:bCs/>
          <w:color w:val="000000"/>
        </w:rPr>
        <w:t xml:space="preserve">Instruction des dossiers et présélection des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candidat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·es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 admissibles :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1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6 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mars 202</w:t>
      </w:r>
      <w:r>
        <w:rPr>
          <w:rFonts w:eastAsia="TimesNewRomanPS-BoldMT" w:cs="TimesNewRomanPS-BoldMT" w:asciiTheme="minorHAnsi" w:hAnsiTheme="minorHAnsi"/>
          <w:bCs/>
          <w:color w:val="000000"/>
        </w:rPr>
        <w:t xml:space="preserve">6 ;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Style w:val="926"/>
        <w:numPr>
          <w:ilvl w:val="0"/>
          <w:numId w:val="16"/>
        </w:numPr>
        <w:pBdr/>
        <w:tabs>
          <w:tab w:val="left" w:leader="none" w:pos="720"/>
        </w:tabs>
        <w:spacing/>
        <w:ind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  <w:t xml:space="preserve">Entretiens</w:t>
      </w:r>
      <w:r>
        <w:rPr>
          <w:rFonts w:eastAsia="TimesNewRomanPS-BoldMT" w:cs="TimesNewRomanPS-BoldMT" w:asciiTheme="minorHAnsi" w:hAnsiTheme="minorHAnsi"/>
          <w:bCs/>
        </w:rPr>
        <w:t xml:space="preserve"> </w:t>
      </w:r>
      <w:r>
        <w:rPr>
          <w:rFonts w:eastAsia="TimesNewRomanPS-BoldMT" w:cs="TimesNewRomanPS-BoldMT" w:asciiTheme="minorHAnsi" w:hAnsiTheme="minorHAnsi"/>
          <w:bCs/>
        </w:rPr>
        <w:t xml:space="preserve">avec </w:t>
      </w:r>
      <w:r>
        <w:rPr>
          <w:rFonts w:eastAsia="TimesNewRomanPS-BoldMT" w:cs="TimesNewRomanPS-BoldMT" w:asciiTheme="minorHAnsi" w:hAnsiTheme="minorHAnsi"/>
          <w:bCs/>
        </w:rPr>
        <w:t xml:space="preserve">les </w:t>
      </w:r>
      <w:r>
        <w:rPr>
          <w:rFonts w:eastAsia="TimesNewRomanPS-BoldMT" w:cs="TimesNewRomanPS-BoldMT" w:asciiTheme="minorHAnsi" w:hAnsiTheme="minorHAnsi"/>
          <w:bCs/>
        </w:rPr>
        <w:t xml:space="preserve">candidat</w:t>
      </w:r>
      <w:r>
        <w:rPr>
          <w:rFonts w:eastAsia="TimesNewRomanPS-BoldMT" w:cs="TimesNewRomanPS-BoldMT" w:asciiTheme="minorHAnsi" w:hAnsiTheme="minorHAnsi"/>
          <w:bCs/>
        </w:rPr>
        <w:t xml:space="preserve">·es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présélectionné·es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: 13 avril</w:t>
      </w:r>
      <w:r>
        <w:rPr>
          <w:rFonts w:eastAsia="TimesNewRomanPS-BoldMT" w:cs="TimesNewRomanPS-BoldMT" w:asciiTheme="minorHAnsi" w:hAnsiTheme="minorHAnsi"/>
          <w:bCs/>
        </w:rPr>
        <w:t xml:space="preserve"> </w:t>
      </w:r>
      <w:r>
        <w:rPr>
          <w:rFonts w:eastAsia="TimesNewRomanPS-BoldMT" w:cs="TimesNewRomanPS-BoldMT" w:asciiTheme="minorHAnsi" w:hAnsiTheme="minorHAnsi"/>
          <w:bCs/>
        </w:rPr>
        <w:t xml:space="preserve">202</w:t>
      </w:r>
      <w:r>
        <w:rPr>
          <w:rFonts w:eastAsia="TimesNewRomanPS-BoldMT" w:cs="TimesNewRomanPS-BoldMT" w:asciiTheme="minorHAnsi" w:hAnsiTheme="minorHAnsi"/>
          <w:bCs/>
        </w:rPr>
        <w:t xml:space="preserve">6.</w:t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720"/>
        </w:tabs>
        <w:spacing/>
        <w:ind w:left="360"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720"/>
        </w:tabs>
        <w:spacing/>
        <w:ind w:left="360"/>
        <w:jc w:val="both"/>
        <w:rPr>
          <w:rFonts w:eastAsia="TimesNewRomanPS-BoldMT" w:cs="TimesNewRomanPS-BoldMT" w:asciiTheme="minorHAnsi" w:hAnsiTheme="minorHAnsi"/>
          <w:bCs/>
        </w:rPr>
      </w:pP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  <w:r>
        <w:rPr>
          <w:rFonts w:eastAsia="TimesNewRomanPS-BoldMT" w:cs="TimesNewRomanPS-BoldMT" w:asciiTheme="minorHAnsi" w:hAnsiTheme="minorHAnsi"/>
          <w:bCs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b/>
          <w:bCs/>
          <w:color w:val="000000"/>
          <w:u w:val="single"/>
        </w:rPr>
      </w:pPr>
      <w:r>
        <w:rPr>
          <w:rFonts w:eastAsia="TimesNewRomanPSMT" w:cs="TimesNewRomanPSMT" w:asciiTheme="minorHAnsi" w:hAnsiTheme="minorHAnsi"/>
          <w:b/>
          <w:bCs/>
          <w:color w:val="000000"/>
          <w:u w:val="single"/>
        </w:rPr>
        <w:t xml:space="preserve">Conditions contractuelles</w:t>
      </w:r>
      <w:r>
        <w:rPr>
          <w:rFonts w:eastAsia="TimesNewRomanPSMT" w:cs="TimesNewRomanPSMT" w:asciiTheme="minorHAnsi" w:hAnsiTheme="minorHAnsi"/>
          <w:b/>
          <w:bCs/>
          <w:color w:val="000000"/>
          <w:u w:val="single"/>
        </w:rPr>
      </w:r>
      <w:r>
        <w:rPr>
          <w:rFonts w:eastAsia="TimesNewRomanPSMT" w:cs="TimesNewRomanPSMT" w:asciiTheme="minorHAnsi" w:hAnsiTheme="minorHAnsi"/>
          <w:b/>
          <w:bCs/>
          <w:color w:val="000000"/>
          <w:u w:val="single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2500</w:t>
      </w:r>
      <w:r>
        <w:rPr>
          <w:rFonts w:eastAsia="TimesNewRomanPSMT" w:cs="TimesNewRomanPSMT" w:asciiTheme="minorHAnsi" w:hAnsiTheme="minorHAnsi"/>
          <w:color w:val="000000"/>
        </w:rPr>
        <w:t xml:space="preserve">,00</w:t>
      </w:r>
      <w:r>
        <w:rPr>
          <w:rFonts w:eastAsia="TimesNewRomanPSMT" w:cs="TimesNewRomanPSMT" w:asciiTheme="minorHAnsi" w:hAnsiTheme="minorHAnsi"/>
          <w:color w:val="000000"/>
        </w:rPr>
        <w:t xml:space="preserve">€ brut</w:t>
      </w:r>
      <w:r>
        <w:rPr>
          <w:rFonts w:eastAsia="TimesNewRomanPSMT" w:cs="TimesNewRomanPSMT" w:asciiTheme="minorHAnsi" w:hAnsiTheme="minorHAnsi"/>
          <w:color w:val="000000"/>
        </w:rPr>
        <w:t xml:space="preserve">s</w:t>
      </w:r>
      <w:r>
        <w:rPr>
          <w:rFonts w:eastAsia="TimesNewRomanPSMT" w:cs="TimesNewRomanPSMT" w:asciiTheme="minorHAnsi" w:hAnsiTheme="minorHAnsi"/>
          <w:color w:val="000000"/>
        </w:rPr>
        <w:t xml:space="preserve"> mensuel</w:t>
      </w:r>
      <w:r>
        <w:rPr>
          <w:rFonts w:eastAsia="TimesNewRomanPSMT" w:cs="TimesNewRomanPSMT" w:asciiTheme="minorHAnsi" w:hAnsiTheme="minorHAnsi"/>
          <w:color w:val="000000"/>
        </w:rPr>
        <w:t xml:space="preserve">s</w:t>
      </w:r>
      <w:r>
        <w:rPr>
          <w:rFonts w:eastAsia="TimesNewRomanPSMT" w:cs="TimesNewRomanPSMT" w:asciiTheme="minorHAnsi" w:hAnsiTheme="minorHAnsi"/>
          <w:color w:val="000000"/>
        </w:rPr>
        <w:t xml:space="preserve">.</w:t>
      </w:r>
      <w:r>
        <w:rPr>
          <w:rFonts w:eastAsia="TimesNewRomanPSMT" w:cs="TimesNewRomanPSMT" w:asciiTheme="minorHAnsi" w:hAnsiTheme="minorHAnsi"/>
          <w:color w:val="000000"/>
        </w:rPr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CDD d’un an.</w:t>
      </w:r>
      <w:r>
        <w:rPr>
          <w:rFonts w:eastAsia="TimesNewRomanPSMT" w:cs="TimesNewRomanPSMT" w:asciiTheme="minorHAnsi" w:hAnsiTheme="minorHAnsi"/>
          <w:color w:val="000000"/>
        </w:rPr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Début du contrat : 1</w:t>
      </w:r>
      <w:r>
        <w:rPr>
          <w:rFonts w:eastAsia="TimesNewRomanPSMT" w:cs="TimesNewRomanPSMT" w:asciiTheme="minorHAnsi" w:hAnsiTheme="minorHAnsi"/>
          <w:color w:val="000000"/>
          <w:vertAlign w:val="superscript"/>
        </w:rPr>
        <w:t xml:space="preserve">er</w:t>
      </w:r>
      <w:r>
        <w:rPr>
          <w:rFonts w:eastAsia="TimesNewRomanPSMT" w:cs="TimesNewRomanPSMT" w:asciiTheme="minorHAnsi" w:hAnsiTheme="minorHAnsi"/>
          <w:color w:val="000000"/>
        </w:rPr>
        <w:t xml:space="preserve"> septembre 2026.</w:t>
      </w:r>
      <w:r>
        <w:rPr>
          <w:rFonts w:eastAsia="TimesNewRomanPSMT" w:cs="TimesNewRomanPSMT" w:asciiTheme="minorHAnsi" w:hAnsiTheme="minorHAnsi"/>
          <w:color w:val="000000"/>
        </w:rPr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/>
        <w:ind/>
        <w:jc w:val="both"/>
        <w:rPr>
          <w:rFonts w:eastAsia="TimesNewRomanPSMT" w:cs="TimesNewRomanPSMT" w:asciiTheme="minorHAnsi" w:hAnsiTheme="minorHAnsi"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</w:r>
      <w:r>
        <w:rPr>
          <w:rFonts w:eastAsia="TimesNewRomanPSMT" w:cs="TimesNewRomanPSMT" w:asciiTheme="minorHAnsi" w:hAnsiTheme="minorHAnsi"/>
          <w:color w:val="000000"/>
        </w:rPr>
      </w:r>
      <w:r>
        <w:rPr>
          <w:rFonts w:eastAsia="TimesNewRomanPSMT" w:cs="TimesNewRomanPSMT" w:asciiTheme="minorHAnsi" w:hAnsiTheme="minorHAnsi"/>
          <w:color w:val="000000"/>
        </w:rPr>
      </w:r>
    </w:p>
    <w:p>
      <w:pPr>
        <w:pBdr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/>
        <w:ind/>
        <w:jc w:val="both"/>
        <w:rPr>
          <w:rFonts w:eastAsia="TimesNewRomanPS-BoldMT" w:cs="TimesNewRomanPS-BoldMT" w:asciiTheme="minorHAnsi" w:hAnsiTheme="minorHAnsi"/>
          <w:bCs/>
          <w:color w:val="000000"/>
        </w:rPr>
      </w:pPr>
      <w:r>
        <w:rPr>
          <w:rFonts w:eastAsia="TimesNewRomanPSMT" w:cs="TimesNewRomanPSMT" w:asciiTheme="minorHAnsi" w:hAnsiTheme="minorHAnsi"/>
          <w:color w:val="000000"/>
        </w:rPr>
        <w:t xml:space="preserve">P</w:t>
      </w:r>
      <w:r>
        <w:rPr>
          <w:rFonts w:eastAsia="TimesNewRomanPSMT" w:cs="TimesNewRomanPSMT" w:asciiTheme="minorHAnsi" w:hAnsiTheme="minorHAnsi"/>
          <w:color w:val="000000"/>
        </w:rPr>
        <w:t xml:space="preserve">our tout renseignement</w:t>
      </w:r>
      <w:r>
        <w:rPr>
          <w:rFonts w:eastAsia="TimesNewRomanPSMT" w:cs="TimesNewRomanPSMT" w:asciiTheme="minorHAnsi" w:hAnsiTheme="minorHAnsi"/>
          <w:color w:val="000000"/>
        </w:rPr>
        <w:t xml:space="preserve"> : </w:t>
      </w:r>
      <w:r>
        <w:rPr>
          <w:rFonts w:eastAsia="TimesNewRomanPS-BoldMT" w:cs="TimesNewRomanPS-BoldMT" w:asciiTheme="minorHAnsi" w:hAnsiTheme="minorHAnsi"/>
          <w:bCs/>
          <w:color w:val="000000"/>
        </w:rPr>
      </w:r>
      <w:r>
        <w:rPr>
          <w:rFonts w:eastAsia="TimesNewRomanPS-BoldMT" w:cs="TimesNewRomanPS-BoldMT" w:asciiTheme="minorHAnsi" w:hAnsiTheme="minorHAnsi"/>
          <w:bCs/>
          <w:color w:val="000000"/>
        </w:rPr>
      </w:r>
    </w:p>
    <w:p>
      <w:pPr>
        <w:pBdr/>
        <w:spacing/>
        <w:ind/>
        <w:rPr>
          <w:rFonts w:cs="Arial" w:asciiTheme="minorHAnsi" w:hAnsiTheme="minorHAnsi"/>
          <w:bCs/>
          <w:color w:val="000000"/>
        </w:rPr>
      </w:pPr>
      <w:r>
        <w:rPr>
          <w:rFonts w:cs="Arial" w:asciiTheme="minorHAnsi" w:hAnsiTheme="minorHAnsi"/>
          <w:bCs/>
          <w:color w:val="000000"/>
        </w:rPr>
        <w:t xml:space="preserve">Justin </w:t>
      </w:r>
      <w:r>
        <w:rPr>
          <w:rFonts w:cs="Arial" w:asciiTheme="minorHAnsi" w:hAnsiTheme="minorHAnsi"/>
          <w:bCs/>
          <w:color w:val="000000"/>
        </w:rPr>
        <w:t xml:space="preserve">Jarico</w:t>
      </w:r>
      <w:r>
        <w:rPr>
          <w:rFonts w:cs="Arial" w:asciiTheme="minorHAnsi" w:hAnsiTheme="minorHAnsi"/>
          <w:bCs/>
          <w:color w:val="000000"/>
        </w:rPr>
        <w:t xml:space="preserve">t</w:t>
      </w:r>
      <w:r>
        <w:rPr>
          <w:rFonts w:cs="Arial" w:asciiTheme="minorHAnsi" w:hAnsiTheme="minorHAnsi"/>
          <w:bCs/>
          <w:color w:val="000000"/>
        </w:rPr>
        <w:t xml:space="preserve"> – Coordinateur général de l’EUR </w:t>
      </w:r>
      <w:r>
        <w:rPr>
          <w:rFonts w:cs="Arial" w:asciiTheme="minorHAnsi" w:hAnsiTheme="minorHAnsi"/>
          <w:bCs/>
          <w:color w:val="000000"/>
        </w:rPr>
        <w:t xml:space="preserve">ArTeC</w:t>
      </w:r>
      <w:r>
        <w:rPr>
          <w:rFonts w:cs="Arial" w:asciiTheme="minorHAnsi" w:hAnsiTheme="minorHAnsi"/>
          <w:bCs/>
          <w:color w:val="000000"/>
        </w:rPr>
        <w:br/>
      </w:r>
      <w:hyperlink r:id="rId13" w:tooltip="mailto:justin.jaricot@eur-artec.fr" w:history="1">
        <w:r>
          <w:rPr>
            <w:rStyle w:val="919"/>
            <w:rFonts w:cs="Arial" w:asciiTheme="minorHAnsi" w:hAnsiTheme="minorHAnsi"/>
            <w:bCs/>
          </w:rPr>
          <w:t xml:space="preserve">justin.jaricot@eur-artec.fr</w:t>
        </w:r>
      </w:hyperlink>
      <w:r>
        <w:rPr>
          <w:rFonts w:cs="Arial" w:asciiTheme="minorHAnsi" w:hAnsiTheme="minorHAnsi"/>
          <w:bCs/>
          <w:color w:val="000000"/>
        </w:rPr>
      </w:r>
      <w:r>
        <w:rPr>
          <w:rFonts w:cs="Arial" w:asciiTheme="minorHAnsi" w:hAnsiTheme="minorHAnsi"/>
          <w:bCs/>
          <w:color w:val="000000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20B0604020202020204"/>
  </w:font>
  <w:font w:name="Times New Roman">
    <w:panose1 w:val="02020603050405020304"/>
  </w:font>
  <w:font w:name="TimesNewRomanPS-BoldMT">
    <w:panose1 w:val="02020603050405020304"/>
  </w:font>
  <w:font w:name="Garamond">
    <w:panose1 w:val="02020603050405020304"/>
  </w:font>
  <w:font w:name="TimesNewRomanPS-BoldItalicMT">
    <w:panose1 w:val="02020603050405020304"/>
  </w:font>
  <w:font w:name="TimesNewRomanPSMT">
    <w:panose1 w:val="02020603050405020304"/>
  </w:font>
  <w:font w:name="Circular Pro Book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"/>
      <w:numFmt w:val="bullet"/>
      <w:pPr>
        <w:pBdr/>
        <w:spacing/>
        <w:ind w:hanging="360" w:left="440"/>
      </w:pPr>
      <w:rPr>
        <w:rFonts w:hint="default" w:ascii="Wingdings" w:hAnsi="Wingdings" w:eastAsia="Arial Unicode MS" w:cs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0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ircular Pro Book" w:hAnsi="Circular Pro Book" w:eastAsia="TimesNewRomanPS-BoldItalicMT" w:cs="Circular Pro Book"/>
        <w:i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16"/>
    <w:uiPriority w:val="99"/>
    <w:semiHidden/>
    <w:pPr>
      <w:pBdr/>
      <w:spacing/>
      <w:ind/>
    </w:pPr>
    <w:rPr>
      <w:color w:val="666666"/>
    </w:rPr>
  </w:style>
  <w:style w:type="table" w:styleId="733">
    <w:name w:val="Table Grid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1"/>
    <w:basedOn w:val="915"/>
    <w:next w:val="915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0">
    <w:name w:val="Heading 2"/>
    <w:basedOn w:val="915"/>
    <w:next w:val="915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1">
    <w:name w:val="Heading 3"/>
    <w:basedOn w:val="915"/>
    <w:next w:val="915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2">
    <w:name w:val="Heading 4"/>
    <w:basedOn w:val="915"/>
    <w:next w:val="915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3">
    <w:name w:val="Heading 5"/>
    <w:basedOn w:val="915"/>
    <w:next w:val="915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4">
    <w:name w:val="Heading 6"/>
    <w:basedOn w:val="915"/>
    <w:next w:val="915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15"/>
    <w:next w:val="915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15"/>
    <w:next w:val="915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15"/>
    <w:next w:val="915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1 Char"/>
    <w:basedOn w:val="916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916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916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916"/>
    <w:link w:val="8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916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916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916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916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916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915"/>
    <w:next w:val="915"/>
    <w:link w:val="8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>
    <w:name w:val="Title Char"/>
    <w:basedOn w:val="916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915"/>
    <w:next w:val="915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>
    <w:name w:val="Subtitle Char"/>
    <w:basedOn w:val="916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915"/>
    <w:next w:val="915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>
    <w:name w:val="Quote Char"/>
    <w:basedOn w:val="916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4">
    <w:name w:val="Intense Quote"/>
    <w:basedOn w:val="915"/>
    <w:next w:val="915"/>
    <w:link w:val="8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5">
    <w:name w:val="Intense Quote Char"/>
    <w:basedOn w:val="916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6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7">
    <w:name w:val="No Spacing"/>
    <w:basedOn w:val="915"/>
    <w:uiPriority w:val="1"/>
    <w:qFormat/>
    <w:pPr>
      <w:pBdr/>
      <w:spacing w:after="0" w:line="240" w:lineRule="auto"/>
      <w:ind/>
    </w:pPr>
  </w:style>
  <w:style w:type="character" w:styleId="888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890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891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3">
    <w:name w:val="Header"/>
    <w:basedOn w:val="915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>
    <w:name w:val="Header Char"/>
    <w:basedOn w:val="916"/>
    <w:link w:val="893"/>
    <w:uiPriority w:val="99"/>
    <w:pPr>
      <w:pBdr/>
      <w:spacing/>
      <w:ind/>
    </w:pPr>
  </w:style>
  <w:style w:type="paragraph" w:styleId="895">
    <w:name w:val="Footer"/>
    <w:basedOn w:val="915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Footer Char"/>
    <w:basedOn w:val="916"/>
    <w:link w:val="895"/>
    <w:uiPriority w:val="99"/>
    <w:pPr>
      <w:pBdr/>
      <w:spacing/>
      <w:ind/>
    </w:pPr>
  </w:style>
  <w:style w:type="paragraph" w:styleId="897">
    <w:name w:val="Caption"/>
    <w:basedOn w:val="915"/>
    <w:next w:val="91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8">
    <w:name w:val="footnote text"/>
    <w:basedOn w:val="915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Footnote Text Char"/>
    <w:basedOn w:val="916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Endnote Text Char"/>
    <w:basedOn w:val="916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pBdr/>
      <w:spacing w:after="100"/>
      <w:ind/>
    </w:pPr>
  </w:style>
  <w:style w:type="paragraph" w:styleId="905">
    <w:name w:val="toc 2"/>
    <w:basedOn w:val="915"/>
    <w:next w:val="915"/>
    <w:uiPriority w:val="39"/>
    <w:unhideWhenUsed/>
    <w:pPr>
      <w:pBdr/>
      <w:spacing w:after="100"/>
      <w:ind w:left="220"/>
    </w:pPr>
  </w:style>
  <w:style w:type="paragraph" w:styleId="906">
    <w:name w:val="toc 3"/>
    <w:basedOn w:val="915"/>
    <w:next w:val="915"/>
    <w:uiPriority w:val="39"/>
    <w:unhideWhenUsed/>
    <w:pPr>
      <w:pBdr/>
      <w:spacing w:after="100"/>
      <w:ind w:left="440"/>
    </w:pPr>
  </w:style>
  <w:style w:type="paragraph" w:styleId="907">
    <w:name w:val="toc 4"/>
    <w:basedOn w:val="915"/>
    <w:next w:val="915"/>
    <w:uiPriority w:val="39"/>
    <w:unhideWhenUsed/>
    <w:pPr>
      <w:pBdr/>
      <w:spacing w:after="100"/>
      <w:ind w:left="660"/>
    </w:pPr>
  </w:style>
  <w:style w:type="paragraph" w:styleId="908">
    <w:name w:val="toc 5"/>
    <w:basedOn w:val="915"/>
    <w:next w:val="915"/>
    <w:uiPriority w:val="39"/>
    <w:unhideWhenUsed/>
    <w:pPr>
      <w:pBdr/>
      <w:spacing w:after="100"/>
      <w:ind w:left="880"/>
    </w:pPr>
  </w:style>
  <w:style w:type="paragraph" w:styleId="909">
    <w:name w:val="toc 6"/>
    <w:basedOn w:val="915"/>
    <w:next w:val="915"/>
    <w:uiPriority w:val="39"/>
    <w:unhideWhenUsed/>
    <w:pPr>
      <w:pBdr/>
      <w:spacing w:after="100"/>
      <w:ind w:left="1100"/>
    </w:pPr>
  </w:style>
  <w:style w:type="paragraph" w:styleId="910">
    <w:name w:val="toc 7"/>
    <w:basedOn w:val="915"/>
    <w:next w:val="915"/>
    <w:uiPriority w:val="39"/>
    <w:unhideWhenUsed/>
    <w:pPr>
      <w:pBdr/>
      <w:spacing w:after="100"/>
      <w:ind w:left="1320"/>
    </w:pPr>
  </w:style>
  <w:style w:type="paragraph" w:styleId="911">
    <w:name w:val="toc 8"/>
    <w:basedOn w:val="915"/>
    <w:next w:val="915"/>
    <w:uiPriority w:val="39"/>
    <w:unhideWhenUsed/>
    <w:pPr>
      <w:pBdr/>
      <w:spacing w:after="100"/>
      <w:ind w:left="1540"/>
    </w:pPr>
  </w:style>
  <w:style w:type="paragraph" w:styleId="912">
    <w:name w:val="toc 9"/>
    <w:basedOn w:val="915"/>
    <w:next w:val="915"/>
    <w:uiPriority w:val="39"/>
    <w:unhideWhenUsed/>
    <w:pPr>
      <w:pBdr/>
      <w:spacing w:after="100"/>
      <w:ind w:left="1760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widowControl w:val="false"/>
      <w:pBdr/>
      <w:spacing/>
      <w:ind/>
    </w:pPr>
    <w:rPr>
      <w:rFonts w:eastAsia="Arial Unicode MS" w:cs="Arial Unicode MS"/>
      <w:sz w:val="24"/>
      <w:szCs w:val="24"/>
      <w:lang w:eastAsia="hi-IN" w:bidi="hi-IN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character" w:styleId="919">
    <w:name w:val="Hyperlink"/>
    <w:pPr>
      <w:pBdr/>
      <w:spacing/>
      <w:ind/>
    </w:pPr>
    <w:rPr>
      <w:color w:val="000080"/>
      <w:u w:val="single"/>
    </w:rPr>
  </w:style>
  <w:style w:type="paragraph" w:styleId="920" w:customStyle="1">
    <w:name w:val="Titre1"/>
    <w:basedOn w:val="915"/>
    <w:next w:val="921"/>
    <w:pPr>
      <w:keepNext w:val="true"/>
      <w:pBdr/>
      <w:spacing w:after="120" w:before="240"/>
      <w:ind/>
    </w:pPr>
    <w:rPr>
      <w:rFonts w:ascii="Arial" w:hAnsi="Arial"/>
      <w:sz w:val="28"/>
      <w:szCs w:val="28"/>
    </w:rPr>
  </w:style>
  <w:style w:type="paragraph" w:styleId="921">
    <w:name w:val="Body Text"/>
    <w:basedOn w:val="915"/>
    <w:pPr>
      <w:pBdr/>
      <w:spacing w:after="120"/>
      <w:ind/>
    </w:pPr>
  </w:style>
  <w:style w:type="paragraph" w:styleId="922">
    <w:name w:val="List"/>
    <w:basedOn w:val="921"/>
    <w:pPr>
      <w:pBdr/>
      <w:spacing/>
      <w:ind/>
    </w:pPr>
  </w:style>
  <w:style w:type="paragraph" w:styleId="923" w:customStyle="1">
    <w:name w:val="Légende1"/>
    <w:basedOn w:val="915"/>
    <w:pPr>
      <w:suppressLineNumbers w:val="true"/>
      <w:pBdr/>
      <w:spacing w:after="120" w:before="120"/>
      <w:ind/>
    </w:pPr>
    <w:rPr>
      <w:i/>
      <w:iCs/>
    </w:rPr>
  </w:style>
  <w:style w:type="paragraph" w:styleId="924" w:customStyle="1">
    <w:name w:val="Index"/>
    <w:basedOn w:val="915"/>
    <w:pPr>
      <w:suppressLineNumbers w:val="true"/>
      <w:pBdr/>
      <w:spacing/>
      <w:ind/>
    </w:pPr>
  </w:style>
  <w:style w:type="paragraph" w:styleId="925" w:customStyle="1">
    <w:name w:val="Corps A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Calibri"/>
      <w:color w:val="000000"/>
      <w:sz w:val="22"/>
      <w:szCs w:val="22"/>
    </w:rPr>
  </w:style>
  <w:style w:type="paragraph" w:styleId="926">
    <w:name w:val="List Paragraph"/>
    <w:basedOn w:val="915"/>
    <w:uiPriority w:val="34"/>
    <w:qFormat/>
    <w:pPr>
      <w:pBdr/>
      <w:spacing/>
      <w:ind w:left="720"/>
      <w:contextualSpacing w:val="true"/>
    </w:pPr>
  </w:style>
  <w:style w:type="character" w:styleId="927">
    <w:name w:val="Unresolved Mention"/>
    <w:basedOn w:val="91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28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kdrive.eur-artec.fr/app/collaborate/1045789/5308535f-3898-4e83-924d-c75465b0fc97" TargetMode="External"/><Relationship Id="rId12" Type="http://schemas.openxmlformats.org/officeDocument/2006/relationships/hyperlink" Target="https://kdrive.eur-artec.fr/app/collaborate/1045789/5308535f-3898-4e83-924d-c75465b0fc97" TargetMode="External"/><Relationship Id="rId13" Type="http://schemas.openxmlformats.org/officeDocument/2006/relationships/hyperlink" Target="mailto:justin.jaricot@eur-artec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F4481-1AFA-7042-8CFD-697C7539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univ_Paris8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Sèdes</dc:creator>
  <cp:keywords/>
  <cp:lastModifiedBy>Justin Jaricot</cp:lastModifiedBy>
  <cp:revision>12</cp:revision>
  <dcterms:created xsi:type="dcterms:W3CDTF">2021-07-02T12:30:00Z</dcterms:created>
  <dcterms:modified xsi:type="dcterms:W3CDTF">2026-01-06T14:42:06Z</dcterms:modified>
</cp:coreProperties>
</file>