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38DD" w14:textId="75BB287C" w:rsidR="002D2F52" w:rsidRDefault="002D2F52" w:rsidP="002D2F52">
      <w:pPr>
        <w:pStyle w:val="CorpsA"/>
        <w:jc w:val="center"/>
        <w:rPr>
          <w:rStyle w:val="Aucun"/>
          <w:b/>
          <w:bCs/>
          <w:color w:val="auto"/>
          <w:sz w:val="48"/>
          <w:szCs w:val="48"/>
          <w:u w:color="000090"/>
        </w:rPr>
      </w:pPr>
      <w:r>
        <w:rPr>
          <w:rFonts w:ascii="Arial Bold"/>
          <w:noProof/>
          <w:color w:val="000099"/>
          <w:u w:color="000099"/>
        </w:rPr>
        <w:drawing>
          <wp:inline distT="0" distB="0" distL="0" distR="0" wp14:anchorId="280D11B6" wp14:editId="186D45EA">
            <wp:extent cx="2583406" cy="980906"/>
            <wp:effectExtent l="0" t="0" r="762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C_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609" cy="99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F0D5" w14:textId="77777777" w:rsidR="002D2F52" w:rsidRDefault="002D2F52" w:rsidP="00891453">
      <w:pPr>
        <w:pStyle w:val="CorpsA"/>
        <w:rPr>
          <w:rStyle w:val="Aucun"/>
          <w:b/>
          <w:bCs/>
          <w:color w:val="auto"/>
          <w:sz w:val="48"/>
          <w:szCs w:val="48"/>
          <w:u w:color="000090"/>
        </w:rPr>
      </w:pPr>
    </w:p>
    <w:p w14:paraId="400ABBED" w14:textId="6B66F883" w:rsidR="00891453" w:rsidRPr="002D2F52" w:rsidRDefault="00891453" w:rsidP="00891453">
      <w:pPr>
        <w:pStyle w:val="CorpsA"/>
        <w:rPr>
          <w:rStyle w:val="Aucun"/>
          <w:rFonts w:ascii="Circular ArTeC" w:hAnsi="Circular ArTeC"/>
          <w:color w:val="0013B2"/>
          <w:sz w:val="20"/>
          <w:szCs w:val="20"/>
        </w:rPr>
      </w:pPr>
      <w:r w:rsidRPr="002D2F52">
        <w:rPr>
          <w:rStyle w:val="Aucun"/>
          <w:rFonts w:ascii="Circular ArTeC" w:hAnsi="Circular ArTeC"/>
          <w:b/>
          <w:bCs/>
          <w:color w:val="0013B2"/>
          <w:sz w:val="48"/>
          <w:szCs w:val="48"/>
          <w:u w:color="000090"/>
        </w:rPr>
        <w:t>Annexe</w:t>
      </w:r>
      <w:r w:rsidR="002D2F52" w:rsidRPr="002D2F52">
        <w:rPr>
          <w:rStyle w:val="Aucun"/>
          <w:rFonts w:ascii="Circular ArTeC" w:hAnsi="Circular ArTeC"/>
          <w:b/>
          <w:bCs/>
          <w:color w:val="0013B2"/>
          <w:sz w:val="48"/>
          <w:szCs w:val="48"/>
          <w:u w:color="000090"/>
        </w:rPr>
        <w:t xml:space="preserve"> 1 </w:t>
      </w:r>
    </w:p>
    <w:p w14:paraId="76D84BF6" w14:textId="2D0F4E5C" w:rsidR="00891453" w:rsidRPr="002D2F52" w:rsidRDefault="00891453" w:rsidP="002D2F52">
      <w:pPr>
        <w:pStyle w:val="Pardfaut"/>
        <w:spacing w:before="0"/>
        <w:jc w:val="center"/>
        <w:rPr>
          <w:rFonts w:ascii="Circular ArTeC" w:eastAsia="Helvetica" w:hAnsi="Circular ArTeC" w:cs="Helvetica"/>
          <w:b/>
          <w:bCs/>
          <w:color w:val="59B292"/>
          <w:sz w:val="32"/>
          <w:szCs w:val="32"/>
        </w:rPr>
      </w:pPr>
      <w:r w:rsidRPr="002D2F52">
        <w:rPr>
          <w:rFonts w:ascii="Circular ArTeC" w:hAnsi="Circular ArTeC"/>
          <w:b/>
          <w:bCs/>
          <w:color w:val="59B292"/>
          <w:sz w:val="32"/>
          <w:szCs w:val="32"/>
        </w:rPr>
        <w:t xml:space="preserve">Les </w:t>
      </w:r>
      <w:r w:rsidR="002D2F52" w:rsidRPr="002D2F52">
        <w:rPr>
          <w:rFonts w:ascii="Circular ArTeC" w:hAnsi="Circular ArTeC"/>
          <w:b/>
          <w:bCs/>
          <w:color w:val="59B292"/>
          <w:sz w:val="32"/>
          <w:szCs w:val="32"/>
        </w:rPr>
        <w:t xml:space="preserve">formats des </w:t>
      </w:r>
      <w:r w:rsidRPr="002D2F52">
        <w:rPr>
          <w:rFonts w:ascii="Circular ArTeC" w:hAnsi="Circular ArTeC"/>
          <w:b/>
          <w:bCs/>
          <w:color w:val="59B292"/>
          <w:sz w:val="32"/>
          <w:szCs w:val="32"/>
        </w:rPr>
        <w:t>Modules de Formation par la Recherche</w:t>
      </w:r>
    </w:p>
    <w:p w14:paraId="62E7068A" w14:textId="77777777" w:rsidR="00891453" w:rsidRPr="002D2F52" w:rsidRDefault="00891453" w:rsidP="00891453">
      <w:pPr>
        <w:pStyle w:val="Pardfaut"/>
        <w:spacing w:before="0"/>
        <w:jc w:val="both"/>
        <w:rPr>
          <w:rFonts w:ascii="Circular Pro Book" w:eastAsia="Calibri" w:hAnsi="Circular Pro Book" w:cs="Calibri"/>
          <w:color w:val="auto"/>
          <w:sz w:val="32"/>
          <w:szCs w:val="32"/>
        </w:rPr>
      </w:pPr>
    </w:p>
    <w:p w14:paraId="53F2C4CF" w14:textId="77777777" w:rsidR="00891453" w:rsidRPr="002D2F52" w:rsidRDefault="00891453" w:rsidP="002D2F52">
      <w:pPr>
        <w:pStyle w:val="Pardfaut"/>
        <w:pBdr>
          <w:bottom w:val="single" w:sz="4" w:space="1" w:color="auto"/>
        </w:pBdr>
        <w:spacing w:before="0"/>
        <w:jc w:val="both"/>
        <w:rPr>
          <w:rFonts w:ascii="Circular Pro Book" w:eastAsia="Calibri" w:hAnsi="Circular Pro Book" w:cs="Calibri"/>
          <w:b/>
          <w:color w:val="0013B2"/>
          <w:sz w:val="30"/>
          <w:szCs w:val="30"/>
        </w:rPr>
      </w:pPr>
      <w:r w:rsidRPr="002D2F52">
        <w:rPr>
          <w:rFonts w:ascii="Circular Pro Book" w:hAnsi="Circular Pro Book"/>
          <w:b/>
          <w:color w:val="0013B2"/>
          <w:sz w:val="30"/>
          <w:szCs w:val="30"/>
        </w:rPr>
        <w:t>Modules Grands Formats : (24h à 72h - 6 ECTS)</w:t>
      </w:r>
    </w:p>
    <w:p w14:paraId="23750986" w14:textId="77777777" w:rsidR="00891453" w:rsidRPr="002D2F52" w:rsidRDefault="00891453" w:rsidP="00891453">
      <w:pPr>
        <w:pStyle w:val="Pardfaut"/>
        <w:spacing w:before="0"/>
        <w:jc w:val="both"/>
        <w:rPr>
          <w:rFonts w:ascii="Circular Pro Book" w:eastAsia="Calibri" w:hAnsi="Circular Pro Book" w:cs="Calibri"/>
          <w:color w:val="auto"/>
          <w:sz w:val="20"/>
          <w:szCs w:val="20"/>
        </w:rPr>
      </w:pPr>
    </w:p>
    <w:p w14:paraId="5BFB28BA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Atelier laboratoire / Atelier d’</w:t>
      </w:r>
      <w:proofErr w:type="spellStart"/>
      <w:r w:rsidRPr="002D2F52">
        <w:rPr>
          <w:rFonts w:ascii="Circular Pro Book" w:hAnsi="Circular Pro Book"/>
          <w:b/>
          <w:bCs/>
          <w:color w:val="auto"/>
        </w:rPr>
        <w:t>exp</w:t>
      </w:r>
      <w:r w:rsidRPr="002D2F52">
        <w:rPr>
          <w:rFonts w:ascii="Calibri" w:eastAsia="Calibri" w:hAnsi="Calibri" w:cs="Calibri"/>
          <w:b/>
          <w:bCs/>
          <w:color w:val="auto"/>
        </w:rPr>
        <w:t>é</w:t>
      </w:r>
      <w:r w:rsidRPr="002D2F52">
        <w:rPr>
          <w:rFonts w:ascii="Circular Pro Book" w:hAnsi="Circular Pro Book"/>
          <w:b/>
          <w:bCs/>
          <w:color w:val="auto"/>
        </w:rPr>
        <w:t>rimentation</w:t>
      </w:r>
      <w:proofErr w:type="spellEnd"/>
    </w:p>
    <w:p w14:paraId="4D56599C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Arial" w:eastAsia="Tahoma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>L’atelier laboratoire ou atelier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expérimentation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repose sur 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d’une œuvre, d’un ensemble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oeuvres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ou, plus globalement, d’un « livrable » (objet, texte, performance, exposition, projection, etc.),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sultant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 travail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rimentation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recherche-cr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men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sur le long terme (pouvant s’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tendre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au maximum sur un semestre). 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laboration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 atelier en collaboration avec au moins un partenaire franc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̧</w:t>
      </w:r>
      <w:r w:rsidRPr="002D2F52">
        <w:rPr>
          <w:rFonts w:ascii="Arial" w:hAnsi="Arial" w:cs="Arial"/>
          <w:color w:val="auto"/>
          <w:sz w:val="21"/>
          <w:szCs w:val="21"/>
          <w:lang w:val="pt-PT"/>
        </w:rPr>
        <w:t>ais ou</w:t>
      </w:r>
      <w:r w:rsidRPr="002D2F52">
        <w:rPr>
          <w:rFonts w:ascii="Arial" w:hAnsi="Arial" w:cs="Arial"/>
          <w:color w:val="auto"/>
          <w:sz w:val="21"/>
          <w:szCs w:val="21"/>
        </w:rPr>
        <w:t> 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étranger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universitaire, artistique ou professionnel, est souhaitable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recommandée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 L’usage d’outils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numériques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pour le travail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mene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́ au sein de l’atelier est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galement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valoriser. L’atelier peut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pondre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une commande et s’effectuer en partie ou en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totalit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« hors les murs »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universit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institutions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impliqu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dans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ArTeC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 (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possibilit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délocalisation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tranger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 particulier).</w:t>
      </w:r>
    </w:p>
    <w:p w14:paraId="1B2EBA82" w14:textId="77777777" w:rsidR="0003657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Par ailleurs, il permet aux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du partenaire franc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̧</w:t>
      </w:r>
      <w:r w:rsidRPr="002D2F52">
        <w:rPr>
          <w:rFonts w:ascii="Arial" w:hAnsi="Arial" w:cs="Arial"/>
          <w:color w:val="auto"/>
          <w:sz w:val="21"/>
          <w:szCs w:val="21"/>
          <w:lang w:val="pt-PT"/>
        </w:rPr>
        <w:t>ais ou e</w:t>
      </w:r>
      <w:r w:rsidRPr="002D2F52">
        <w:rPr>
          <w:rFonts w:ascii="Arial" w:hAnsi="Arial" w:cs="Arial"/>
          <w:color w:val="auto"/>
          <w:sz w:val="21"/>
          <w:szCs w:val="21"/>
        </w:rPr>
        <w:t>́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tranger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participer au projet et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grer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les groupes de travail, en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sentiel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distance.</w:t>
      </w:r>
    </w:p>
    <w:p w14:paraId="04B8A10C" w14:textId="6AB5DB4D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Arial" w:eastAsia="Tahoma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Le format de chaque atelier est relativement libre. Il peut se composer de rendez-vous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réguliers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et/ou de sessions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intensives,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lant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théorie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pratique. 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travaillent en mode projet, comme le workshop, mais prennent le temps de construire à plusieurs, avec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compétences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transversales, un livrable suffisamment abouti pour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envisagé comme un produit fini. Celui-ci doit faire l’objet d’une restitution publique, sous la forme d’un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v</w:t>
      </w:r>
      <w:r w:rsidR="002D2F52" w:rsidRPr="002D2F52">
        <w:rPr>
          <w:rFonts w:ascii="Arial" w:eastAsia="Calibri" w:hAnsi="Arial" w:cs="Arial"/>
          <w:color w:val="auto"/>
          <w:sz w:val="21"/>
          <w:szCs w:val="21"/>
        </w:rPr>
        <w:t>é</w:t>
      </w:r>
      <w:r w:rsidRPr="002D2F52">
        <w:rPr>
          <w:rFonts w:ascii="Arial" w:hAnsi="Arial" w:cs="Arial"/>
          <w:color w:val="auto"/>
          <w:sz w:val="21"/>
          <w:szCs w:val="21"/>
        </w:rPr>
        <w:t>nement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ouvert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tous (au moins 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communaut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ARTEC) et en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sence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autant que faire se peut, des partenaires.</w:t>
      </w:r>
    </w:p>
    <w:p w14:paraId="3A070800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hAnsi="Circular Pro Book"/>
          <w:b/>
          <w:bCs/>
          <w:color w:val="auto"/>
          <w:sz w:val="20"/>
          <w:szCs w:val="22"/>
        </w:rPr>
      </w:pPr>
    </w:p>
    <w:p w14:paraId="3ACABC25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Cycle de conférences</w:t>
      </w:r>
    </w:p>
    <w:p w14:paraId="0EA0B09C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Le cycle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conférences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est un temps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réflexion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théorique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sur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journée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demi-journée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dans lequel des 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spécialistes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d’une discipline ou d’une pratique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débattre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échanger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 sur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problématique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spécifique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: professionnels, doctorants, enseignants-chercheurs d’autres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universit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... Le cycle doit comprendre au moins trois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journ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Si 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probl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 et la moiti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au moins de la programmation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proposées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 amont par le porteur du projet dans le cadre de l’AAP (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 conception du programme, intervenants et lieu), la conception et le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roulement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du cycle doivent impliquer fortement les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: travail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complémentaire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veille, organisation pratique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opérationnelle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 propositions et construction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séances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complémentaires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communication et valorisation de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v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è</w:t>
      </w:r>
      <w:r w:rsidRPr="002D2F52">
        <w:rPr>
          <w:rFonts w:ascii="Arial" w:hAnsi="Arial" w:cs="Arial"/>
          <w:color w:val="auto"/>
          <w:sz w:val="21"/>
          <w:szCs w:val="21"/>
        </w:rPr>
        <w:t>nement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etc. dans une perspective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orico-pratique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visant l’insertion future des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tudiant.e.s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dans le monde de la recherche, de la culture, de 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de l’art ou dans un domaine professionnel.</w:t>
      </w:r>
    </w:p>
    <w:p w14:paraId="45A409FE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Circular Pro Book" w:eastAsia="Tahoma" w:hAnsi="Circular Pro Book" w:cs="Tahoma"/>
          <w:color w:val="auto"/>
          <w:sz w:val="22"/>
        </w:rPr>
      </w:pPr>
    </w:p>
    <w:p w14:paraId="41202D64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lastRenderedPageBreak/>
        <w:t>Classe partagée à l’international</w:t>
      </w:r>
    </w:p>
    <w:p w14:paraId="0A7A202F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La classe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partagée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l’international a pour but de faire collaborer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 des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appartenant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̀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universités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des organismes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situés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dans des pays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différents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gr</w:t>
      </w:r>
      <w:r w:rsidRPr="002D2F52">
        <w:rPr>
          <w:rStyle w:val="Aucun"/>
          <w:rFonts w:ascii="Arial" w:hAnsi="Arial" w:cs="Arial"/>
          <w:color w:val="auto"/>
          <w:sz w:val="21"/>
          <w:szCs w:val="21"/>
        </w:rPr>
        <w:t>a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ce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̀ des outils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numériques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multiples (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visioconférences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messages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électroniques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partages de documents, etc.). Elle permet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également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la collaboration active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enseignant.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-chercheurs, de chercheurs,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créateurs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etc. en provenance de plusieurs pays afin d’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laborer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un projet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dagogique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international. La classe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partag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l’international peut, par exemple,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rythmée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par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séances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assurées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alternativement par 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enseignant.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de chaque pays : 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étudiant.e.s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qui ne sont pas dans le lieu où 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déroule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le cours suivent 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séance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 podcast et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 interagir par le biais d’outils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.</w:t>
      </w:r>
    </w:p>
    <w:p w14:paraId="0A317029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Circular Pro Book" w:eastAsia="Tahoma" w:hAnsi="Circular Pro Book" w:cs="Tahoma"/>
          <w:color w:val="auto"/>
          <w:sz w:val="22"/>
        </w:rPr>
      </w:pPr>
    </w:p>
    <w:p w14:paraId="25A89A81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 xml:space="preserve">Module d’enseignement </w:t>
      </w:r>
      <w:r w:rsidRPr="002D2F52">
        <w:rPr>
          <w:rFonts w:ascii="Circular Pro Book" w:eastAsia="Calibri" w:hAnsi="Circular Pro Book" w:cs="Calibri"/>
          <w:b/>
          <w:bCs/>
          <w:color w:val="auto"/>
        </w:rPr>
        <w:t>à</w:t>
      </w:r>
      <w:r w:rsidRPr="002D2F52">
        <w:rPr>
          <w:rFonts w:ascii="Circular Pro Book" w:hAnsi="Circular Pro Book"/>
          <w:b/>
          <w:bCs/>
          <w:color w:val="auto"/>
        </w:rPr>
        <w:t xml:space="preserve"> distance</w:t>
      </w:r>
    </w:p>
    <w:p w14:paraId="503C16E3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Arial" w:eastAsia="Tahoma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Il s’agit d’un module que les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amen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suivre uniquement en ligne, via une plateforme 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Ce module peut prendre la forme d’un podcast, d’un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Mooc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d’un cours en ligne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multim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dia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etc. Un module d’enseignement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 permet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chaque </w:t>
      </w:r>
      <w:proofErr w:type="spellStart"/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étudiant.e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de suivre le module à son rythme, dans une logique de « self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studies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 ». Il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sente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aussi l’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pour les responsables d’un module de ce type, de pouvoir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laborer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des contenus et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modalit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d’enseignement qui exploitent 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potentialités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pédagogiques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 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expérimentales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créatives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du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numérique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Ce type de module invite aussi à concevoir de nouvelles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modalités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 d’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valuation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du travail des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par le biais des outils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num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Ces modules peuvent </w:t>
      </w:r>
      <w:proofErr w:type="spellStart"/>
      <w:r w:rsidRPr="002D2F52">
        <w:rPr>
          <w:rStyle w:val="Aucun"/>
          <w:rFonts w:ascii="Arial" w:hAnsi="Arial" w:cs="Arial"/>
          <w:color w:val="auto"/>
          <w:sz w:val="21"/>
          <w:szCs w:val="21"/>
        </w:rPr>
        <w:t>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indépendants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en partie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intégrables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dans un autre type de module. </w:t>
      </w:r>
    </w:p>
    <w:p w14:paraId="2620CD47" w14:textId="77777777" w:rsidR="002D2F52" w:rsidRDefault="002D2F52" w:rsidP="00036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Aucun"/>
          <w:rFonts w:ascii="Circular Pro Book" w:hAnsi="Circular Pro Book" w:cs="Arial Unicode MS"/>
          <w:b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Circular Pro Book" w:hAnsi="Circular Pro Book"/>
          <w:b/>
        </w:rPr>
        <w:br w:type="page"/>
      </w:r>
    </w:p>
    <w:p w14:paraId="2C46DC01" w14:textId="4019500D" w:rsidR="00891453" w:rsidRPr="002D2F52" w:rsidRDefault="00891453" w:rsidP="002D2F52">
      <w:pPr>
        <w:pStyle w:val="Pardfaut"/>
        <w:pBdr>
          <w:bottom w:val="single" w:sz="4" w:space="1" w:color="auto"/>
        </w:pBdr>
        <w:spacing w:before="0"/>
        <w:jc w:val="both"/>
        <w:rPr>
          <w:rStyle w:val="Aucun"/>
          <w:rFonts w:ascii="Circular Pro Book" w:eastAsia="Tahoma" w:hAnsi="Circular Pro Book" w:cs="Tahoma"/>
          <w:b/>
          <w:color w:val="0013B2"/>
          <w:sz w:val="30"/>
          <w:szCs w:val="30"/>
        </w:rPr>
      </w:pPr>
      <w:r w:rsidRPr="002D2F52">
        <w:rPr>
          <w:rStyle w:val="Aucun"/>
          <w:rFonts w:ascii="Circular Pro Book" w:hAnsi="Circular Pro Book"/>
          <w:b/>
          <w:color w:val="0013B2"/>
          <w:sz w:val="30"/>
          <w:szCs w:val="30"/>
        </w:rPr>
        <w:lastRenderedPageBreak/>
        <w:t>Modules Petits Formats : (12h à 24h - 3 ECTS)</w:t>
      </w:r>
    </w:p>
    <w:p w14:paraId="3572EE87" w14:textId="77777777" w:rsidR="00891453" w:rsidRPr="002D2F52" w:rsidRDefault="00891453" w:rsidP="00891453">
      <w:pPr>
        <w:pStyle w:val="Pardfaut"/>
        <w:spacing w:before="100" w:after="100"/>
        <w:rPr>
          <w:rStyle w:val="Aucun"/>
          <w:rFonts w:ascii="Circular Pro Book" w:eastAsia="Tahoma" w:hAnsi="Circular Pro Book" w:cs="Tahoma"/>
          <w:b/>
          <w:bCs/>
          <w:color w:val="auto"/>
        </w:rPr>
      </w:pPr>
    </w:p>
    <w:p w14:paraId="1535748E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Workshop</w:t>
      </w:r>
    </w:p>
    <w:p w14:paraId="3EC53850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Arial" w:eastAsia="Tahoma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>Le workshop est le cadre où s’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labore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prioritairement une mise en pratique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rimentale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Il se construit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hAnsi="Arial" w:cs="Arial"/>
          <w:color w:val="auto"/>
          <w:sz w:val="21"/>
          <w:szCs w:val="21"/>
          <w:lang w:val="pt-PT"/>
        </w:rPr>
        <w:t>partir d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’une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problématique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d’une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identifi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par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quipe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dagogique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qui associe des artistes,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ateurs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des experts et/ou des professionnels pouvant nourrir le travail des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leur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sence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leurs conseils. Si son format est relativement libre, il doit comprendre plusieurs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séances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s’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tendant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 sur un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quatre jours. Il aboutit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cessairement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une production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mat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rielle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sent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« en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tat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 »,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la fin du temps imparti. L’objectif du workshop, contrairement au hackathon, n’est pas de mettre les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 situation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pondre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une commande : il est de les inviter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force de proposition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dès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tape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la conception du projet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venir,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guid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par les concepteurs du workshop.</w:t>
      </w:r>
    </w:p>
    <w:p w14:paraId="2F0E2EE7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Tahoma" w:hAnsi="Circular Pro Book" w:cs="Tahoma"/>
          <w:color w:val="auto"/>
          <w:sz w:val="20"/>
          <w:szCs w:val="20"/>
        </w:rPr>
      </w:pPr>
    </w:p>
    <w:p w14:paraId="4E2A2597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Séminaire</w:t>
      </w:r>
    </w:p>
    <w:p w14:paraId="41F0EB3F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séminaire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est un temps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réflexion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d’enseignement et d’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change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orique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dont le format peut </w:t>
      </w:r>
      <w:proofErr w:type="spellStart"/>
      <w:r w:rsidRPr="002D2F52">
        <w:rPr>
          <w:rStyle w:val="Aucun"/>
          <w:rFonts w:ascii="Arial" w:hAnsi="Arial" w:cs="Arial"/>
          <w:color w:val="auto"/>
          <w:sz w:val="21"/>
          <w:szCs w:val="21"/>
        </w:rPr>
        <w:t>e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variable (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séances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deux ou trois heures,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journée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série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journées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).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spécialistes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matique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d’une discipline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scientifique (enseignants-chercheurs, chercheurs, doctorants, artistes, professionnels, etc.)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invités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débattre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confronter leur point de vue, en sollicitant la participation active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étudiant.e.s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. Dans le cadre d’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ArTeC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le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minaire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est le lieu par excellence de la formation par la recherche, afin de renforcer les acquis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méthodologiques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et les amener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̀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réfléchir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collectivement aux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problèmes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théoriques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et pratiques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liés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une recherche,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création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ou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expérimentation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. La validation du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séminaire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par 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peut se faire sous la forme d’une production,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orique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thodologique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artistique,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..., individuelle ou collective.</w:t>
      </w:r>
    </w:p>
    <w:p w14:paraId="527D9E1C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Circular Pro Book" w:eastAsia="Tahoma" w:hAnsi="Circular Pro Book" w:cs="Tahoma"/>
          <w:color w:val="auto"/>
        </w:rPr>
      </w:pPr>
    </w:p>
    <w:p w14:paraId="38278A4A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Classe inversée</w:t>
      </w:r>
    </w:p>
    <w:p w14:paraId="5FF104DC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La classe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inversée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nécessite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l’inversion du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syst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è</w:t>
      </w:r>
      <w:r w:rsidRPr="002D2F52">
        <w:rPr>
          <w:rFonts w:ascii="Arial" w:hAnsi="Arial" w:cs="Arial"/>
          <w:color w:val="auto"/>
          <w:sz w:val="21"/>
          <w:szCs w:val="21"/>
        </w:rPr>
        <w:t>me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traditionnel de l’enseignement descendant et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présentiel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du cours, en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plac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̧</w:t>
      </w:r>
      <w:r w:rsidRPr="002D2F52">
        <w:rPr>
          <w:rFonts w:ascii="Arial" w:hAnsi="Arial" w:cs="Arial"/>
          <w:color w:val="auto"/>
          <w:sz w:val="21"/>
          <w:szCs w:val="21"/>
        </w:rPr>
        <w:t>ant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tudiant.e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> au cœur du processus d’apprentissage et l’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enseignant.e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 « facilitateur », permettant de convoquer les acquis pour leur donner sens. Elle repose sur la composition en amont, par 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l’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enseignant.e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, d’un corpus documentaire, qui est ensuite mis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disposition des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tudiant.e.s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qui en font une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distance, individuellement ou collectivement. Ce corpus multi-support, possiblement transdisciplinaire, est ensuite sollicit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en cours dans le cadre d’un processus de mise en commun de l’information, pouvant aboutir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une production de type conceptuelle. Format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privil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gi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de la veille, la classe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invers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apparai</w:t>
      </w:r>
      <w:r w:rsidRPr="002D2F52">
        <w:rPr>
          <w:rStyle w:val="Aucun"/>
          <w:rFonts w:ascii="Arial" w:eastAsia="Calibri" w:hAnsi="Arial" w:cs="Arial"/>
          <w:color w:val="auto"/>
          <w:sz w:val="21"/>
          <w:szCs w:val="21"/>
        </w:rPr>
        <w:t>̂</w:t>
      </w:r>
      <w:r w:rsidRPr="002D2F52">
        <w:rPr>
          <w:rFonts w:ascii="Arial" w:hAnsi="Arial" w:cs="Arial"/>
          <w:color w:val="auto"/>
          <w:sz w:val="21"/>
          <w:szCs w:val="21"/>
        </w:rPr>
        <w:t>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comme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première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étape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essentielle à tous projets plus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expérimentaux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(hackathon ou workshop) ou au contraire d’un grand format de type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minaire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(en fournissant un cadre scientifique permettant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finir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un appel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contribution). Il peut aboutir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une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synth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è</w:t>
      </w:r>
      <w:r w:rsidRPr="002D2F52">
        <w:rPr>
          <w:rFonts w:ascii="Arial" w:hAnsi="Arial" w:cs="Arial"/>
          <w:color w:val="auto"/>
          <w:sz w:val="21"/>
          <w:szCs w:val="21"/>
        </w:rPr>
        <w:t>se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pist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mologique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d’un ensemble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donn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sous la forme d’un dossier, d’une note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synth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è</w:t>
      </w:r>
      <w:r w:rsidRPr="002D2F52">
        <w:rPr>
          <w:rFonts w:ascii="Arial" w:hAnsi="Arial" w:cs="Arial"/>
          <w:color w:val="auto"/>
          <w:sz w:val="21"/>
          <w:szCs w:val="21"/>
        </w:rPr>
        <w:t>se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ou d’un produit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multim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dia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facilitant la consultation, l’alimentation, le partage de ce corpus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distance. La classe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invers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peut ainsi avoir pour vocation de travailler sur la formation 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eastAsia="Calibri" w:hAnsi="Arial" w:cs="Arial"/>
          <w:color w:val="auto"/>
          <w:sz w:val="21"/>
          <w:szCs w:val="21"/>
        </w:rPr>
        <w:t>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distance en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fl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chissant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des formats pionniers ou l’enrichissement d’une plateforme commune existante.</w:t>
      </w:r>
    </w:p>
    <w:p w14:paraId="3C544CCE" w14:textId="77777777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Circular Pro Book" w:eastAsia="Tahoma" w:hAnsi="Circular Pro Book" w:cs="Tahoma"/>
          <w:color w:val="auto"/>
          <w:sz w:val="21"/>
          <w:szCs w:val="21"/>
        </w:rPr>
      </w:pPr>
    </w:p>
    <w:p w14:paraId="09134F5C" w14:textId="77777777" w:rsidR="00891453" w:rsidRPr="002D2F52" w:rsidRDefault="00891453" w:rsidP="00036572">
      <w:pPr>
        <w:pStyle w:val="Pardfaut"/>
        <w:spacing w:before="100" w:after="100"/>
        <w:jc w:val="both"/>
        <w:rPr>
          <w:rFonts w:ascii="Circular Pro Book" w:eastAsia="Helvetica" w:hAnsi="Circular Pro Book" w:cs="Helvetica"/>
          <w:b/>
          <w:bCs/>
          <w:color w:val="auto"/>
        </w:rPr>
      </w:pPr>
      <w:r w:rsidRPr="002D2F52">
        <w:rPr>
          <w:rFonts w:ascii="Circular Pro Book" w:hAnsi="Circular Pro Book"/>
          <w:b/>
          <w:bCs/>
          <w:color w:val="auto"/>
        </w:rPr>
        <w:t>Hackathon</w:t>
      </w:r>
    </w:p>
    <w:p w14:paraId="401A3B32" w14:textId="77777777" w:rsidR="0003657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Son objectif premier est de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répondre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à un besoin interne identifié par un acteur d’un secteur de la recherche, de la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ation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, de l’art ou d’un milieu professionnel, dont il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définit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le cadre en pleine collaboration avec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quipe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 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dagogique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en charge du module.</w:t>
      </w:r>
    </w:p>
    <w:p w14:paraId="3ACB1DD9" w14:textId="22DBDCF6" w:rsidR="00036572" w:rsidRDefault="00891453" w:rsidP="00036572">
      <w:pPr>
        <w:pStyle w:val="Pardfaut"/>
        <w:spacing w:before="100" w:after="100"/>
        <w:jc w:val="both"/>
        <w:rPr>
          <w:rFonts w:ascii="Arial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L’hackathon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pond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à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 cette commande sous la forme d’un « intensif </w:t>
      </w:r>
      <w:r w:rsidRPr="002D2F52">
        <w:rPr>
          <w:rFonts w:ascii="Arial" w:hAnsi="Arial" w:cs="Arial"/>
          <w:color w:val="auto"/>
          <w:sz w:val="21"/>
          <w:szCs w:val="21"/>
          <w:lang w:val="ru-RU"/>
        </w:rPr>
        <w:t>» </w:t>
      </w:r>
      <w:r w:rsidRPr="002D2F52">
        <w:rPr>
          <w:rFonts w:ascii="Arial" w:hAnsi="Arial" w:cs="Arial"/>
          <w:color w:val="auto"/>
          <w:sz w:val="21"/>
          <w:szCs w:val="21"/>
        </w:rPr>
        <w:t>au cours duquel plusieurs groupes d’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tudiant.</w:t>
      </w:r>
      <w:proofErr w:type="gramStart"/>
      <w:r w:rsidRPr="002D2F52">
        <w:rPr>
          <w:rFonts w:ascii="Arial" w:hAnsi="Arial" w:cs="Arial"/>
          <w:color w:val="auto"/>
          <w:sz w:val="21"/>
          <w:szCs w:val="21"/>
        </w:rPr>
        <w:t>e.s</w:t>
      </w:r>
      <w:proofErr w:type="spellEnd"/>
      <w:proofErr w:type="gramEnd"/>
      <w:r w:rsidRPr="002D2F52">
        <w:rPr>
          <w:rFonts w:ascii="Arial" w:hAnsi="Arial" w:cs="Arial"/>
          <w:color w:val="auto"/>
          <w:sz w:val="21"/>
          <w:szCs w:val="21"/>
        </w:rPr>
        <w:t xml:space="preserve"> aux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comp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tences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multiples (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accompagnés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 professionnels provenant notamment des structures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concernées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) sont mis en « concurrence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» et doivent, au terme du temps imparti, soumettre une proposition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exp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rimentale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: un outil, une production, un prototype.</w:t>
      </w:r>
      <w:r w:rsidRPr="002D2F52">
        <w:rPr>
          <w:rStyle w:val="Aucun"/>
          <w:rFonts w:ascii="Arial" w:eastAsia="Tahoma" w:hAnsi="Arial" w:cs="Arial"/>
          <w:color w:val="auto"/>
          <w:sz w:val="21"/>
          <w:szCs w:val="21"/>
        </w:rPr>
        <w:t xml:space="preserve"> </w:t>
      </w:r>
      <w:r w:rsidRPr="002D2F52">
        <w:rPr>
          <w:rFonts w:ascii="Arial" w:hAnsi="Arial" w:cs="Arial"/>
          <w:color w:val="auto"/>
          <w:sz w:val="21"/>
          <w:szCs w:val="21"/>
        </w:rPr>
        <w:lastRenderedPageBreak/>
        <w:t xml:space="preserve">Les groupes de travail sont autonomes dans leur phase de recherche, mais peuvent </w:t>
      </w:r>
      <w:bookmarkStart w:id="0" w:name="_GoBack"/>
      <w:bookmarkEnd w:id="0"/>
      <w:r w:rsidRPr="002D2F52">
        <w:rPr>
          <w:rStyle w:val="Aucun"/>
          <w:rFonts w:ascii="Arial" w:hAnsi="Arial" w:cs="Arial"/>
          <w:color w:val="auto"/>
          <w:sz w:val="21"/>
          <w:szCs w:val="21"/>
        </w:rPr>
        <w:t>ê</w:t>
      </w:r>
      <w:r w:rsidRPr="002D2F52">
        <w:rPr>
          <w:rFonts w:ascii="Arial" w:hAnsi="Arial" w:cs="Arial"/>
          <w:color w:val="auto"/>
          <w:sz w:val="21"/>
          <w:szCs w:val="21"/>
        </w:rPr>
        <w:t xml:space="preserve">tre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accompagnés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ponctuellement par l’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quipe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p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dagogique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sous la forme de points d’</w:t>
      </w:r>
      <w:proofErr w:type="spellStart"/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tapes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, de brainstorming, etc.</w:t>
      </w:r>
    </w:p>
    <w:p w14:paraId="44D82BB4" w14:textId="1D44CF52" w:rsidR="00891453" w:rsidRPr="002D2F52" w:rsidRDefault="00891453" w:rsidP="00036572">
      <w:pPr>
        <w:pStyle w:val="Pardfaut"/>
        <w:spacing w:before="100" w:after="100"/>
        <w:jc w:val="both"/>
        <w:rPr>
          <w:rStyle w:val="Aucun"/>
          <w:rFonts w:ascii="Arial" w:eastAsia="Tahoma" w:hAnsi="Arial" w:cs="Arial"/>
          <w:color w:val="auto"/>
          <w:sz w:val="21"/>
          <w:szCs w:val="21"/>
        </w:rPr>
      </w:pPr>
      <w:r w:rsidRPr="002D2F52">
        <w:rPr>
          <w:rFonts w:ascii="Arial" w:hAnsi="Arial" w:cs="Arial"/>
          <w:color w:val="auto"/>
          <w:sz w:val="21"/>
          <w:szCs w:val="21"/>
        </w:rPr>
        <w:t xml:space="preserve">Les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diffe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>́</w:t>
      </w:r>
      <w:r w:rsidRPr="002D2F52">
        <w:rPr>
          <w:rFonts w:ascii="Arial" w:hAnsi="Arial" w:cs="Arial"/>
          <w:color w:val="auto"/>
          <w:sz w:val="21"/>
          <w:szCs w:val="21"/>
          <w:lang w:val="pt-PT"/>
        </w:rPr>
        <w:t>rentes e</w:t>
      </w:r>
      <w:r w:rsidRPr="002D2F52">
        <w:rPr>
          <w:rFonts w:ascii="Arial" w:hAnsi="Arial" w:cs="Arial"/>
          <w:color w:val="auto"/>
          <w:sz w:val="21"/>
          <w:szCs w:val="21"/>
        </w:rPr>
        <w:t>́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quipes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sont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départagées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devant un jury de professionnels, venus participer ou assister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a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̀ cette « bulle </w:t>
      </w:r>
      <w:proofErr w:type="spellStart"/>
      <w:r w:rsidRPr="002D2F52">
        <w:rPr>
          <w:rFonts w:ascii="Arial" w:hAnsi="Arial" w:cs="Arial"/>
          <w:color w:val="auto"/>
          <w:sz w:val="21"/>
          <w:szCs w:val="21"/>
        </w:rPr>
        <w:t>cr</w:t>
      </w:r>
      <w:r w:rsidRPr="002D2F52">
        <w:rPr>
          <w:rFonts w:ascii="Arial" w:eastAsia="Calibri" w:hAnsi="Arial" w:cs="Arial"/>
          <w:color w:val="auto"/>
          <w:sz w:val="21"/>
          <w:szCs w:val="21"/>
        </w:rPr>
        <w:t>é</w:t>
      </w:r>
      <w:r w:rsidRPr="002D2F52">
        <w:rPr>
          <w:rFonts w:ascii="Arial" w:hAnsi="Arial" w:cs="Arial"/>
          <w:color w:val="auto"/>
          <w:sz w:val="21"/>
          <w:szCs w:val="21"/>
        </w:rPr>
        <w:t>ative</w:t>
      </w:r>
      <w:proofErr w:type="spellEnd"/>
      <w:r w:rsidRPr="002D2F52">
        <w:rPr>
          <w:rFonts w:ascii="Arial" w:hAnsi="Arial" w:cs="Arial"/>
          <w:color w:val="auto"/>
          <w:sz w:val="21"/>
          <w:szCs w:val="21"/>
        </w:rPr>
        <w:t xml:space="preserve"> ». </w:t>
      </w:r>
    </w:p>
    <w:p w14:paraId="34116378" w14:textId="77777777" w:rsidR="00891453" w:rsidRPr="002D2F52" w:rsidRDefault="00891453" w:rsidP="00036572">
      <w:pPr>
        <w:pStyle w:val="CorpsA"/>
        <w:jc w:val="both"/>
        <w:rPr>
          <w:rStyle w:val="Aucun"/>
          <w:rFonts w:ascii="Circular Pro Book" w:hAnsi="Circular Pro Book"/>
          <w:color w:val="FF2C21"/>
          <w:sz w:val="20"/>
          <w:szCs w:val="20"/>
          <w:u w:color="49C39D"/>
        </w:rPr>
      </w:pPr>
    </w:p>
    <w:p w14:paraId="1A21CC96" w14:textId="77777777" w:rsidR="000B1E7F" w:rsidRPr="002D2F52" w:rsidRDefault="000B1E7F" w:rsidP="00036572">
      <w:pPr>
        <w:jc w:val="both"/>
        <w:rPr>
          <w:rFonts w:ascii="Circular Pro Book" w:hAnsi="Circular Pro Book"/>
        </w:rPr>
      </w:pPr>
    </w:p>
    <w:sectPr w:rsidR="000B1E7F" w:rsidRPr="002D2F52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50AB" w14:textId="77777777" w:rsidR="003E175A" w:rsidRDefault="003E175A">
      <w:r>
        <w:separator/>
      </w:r>
    </w:p>
  </w:endnote>
  <w:endnote w:type="continuationSeparator" w:id="0">
    <w:p w14:paraId="740D2442" w14:textId="77777777" w:rsidR="003E175A" w:rsidRDefault="003E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ircular ArTeC">
    <w:altName w:val="Times New Roman"/>
    <w:panose1 w:val="00000000000000000000"/>
    <w:charset w:val="00"/>
    <w:family w:val="modern"/>
    <w:notTrueType/>
    <w:pitch w:val="variable"/>
    <w:sig w:usb0="A000003F" w:usb1="5000E47B" w:usb2="00000008" w:usb3="00000000" w:csb0="00000093" w:csb1="00000000"/>
  </w:font>
  <w:font w:name="Circular Pro Book">
    <w:altName w:val="Arial"/>
    <w:panose1 w:val="020B0604020101020102"/>
    <w:charset w:val="00"/>
    <w:family w:val="swiss"/>
    <w:notTrueType/>
    <w:pitch w:val="variable"/>
    <w:sig w:usb0="A000003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BF20" w14:textId="77777777" w:rsidR="00CD6437" w:rsidRDefault="002D2F52" w:rsidP="008317B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0ADCB4" w14:textId="77777777" w:rsidR="00CD6437" w:rsidRDefault="005F71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7D50" w14:textId="07F83EAE" w:rsidR="00CD6437" w:rsidRDefault="002D2F52" w:rsidP="008317B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16E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7052740" w14:textId="77777777" w:rsidR="00A67016" w:rsidRDefault="005F715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55A8" w14:textId="77777777" w:rsidR="003E175A" w:rsidRDefault="003E175A">
      <w:r>
        <w:separator/>
      </w:r>
    </w:p>
  </w:footnote>
  <w:footnote w:type="continuationSeparator" w:id="0">
    <w:p w14:paraId="0D62BFE3" w14:textId="77777777" w:rsidR="003E175A" w:rsidRDefault="003E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B11C" w14:textId="77777777" w:rsidR="00A67016" w:rsidRDefault="005F71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53"/>
    <w:rsid w:val="00036572"/>
    <w:rsid w:val="000B1E7F"/>
    <w:rsid w:val="002D2F52"/>
    <w:rsid w:val="003E175A"/>
    <w:rsid w:val="005616ED"/>
    <w:rsid w:val="005F7153"/>
    <w:rsid w:val="00891453"/>
    <w:rsid w:val="009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14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914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91453"/>
    <w:rPr>
      <w:rFonts w:ascii="Helvetica" w:eastAsia="Arial Unicode MS" w:hAnsi="Arial Unicode MS" w:cs="Arial Unicode MS"/>
      <w:color w:val="000000"/>
      <w:bdr w:val="nil"/>
      <w:lang w:eastAsia="fr-FR"/>
    </w:rPr>
  </w:style>
  <w:style w:type="paragraph" w:customStyle="1" w:styleId="CorpsA">
    <w:name w:val="Corps A"/>
    <w:rsid w:val="008914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fr-FR"/>
    </w:rPr>
  </w:style>
  <w:style w:type="character" w:customStyle="1" w:styleId="Aucun">
    <w:name w:val="Aucun"/>
    <w:rsid w:val="00891453"/>
  </w:style>
  <w:style w:type="paragraph" w:customStyle="1" w:styleId="Pardfaut">
    <w:name w:val="Par défaut"/>
    <w:rsid w:val="0089145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8914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453"/>
    <w:rPr>
      <w:rFonts w:ascii="Times New Roman" w:eastAsia="Arial Unicode MS" w:hAnsi="Times New Roman" w:cs="Times New Roman"/>
      <w:bdr w:val="nil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89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1373</Words>
  <Characters>7593</Characters>
  <Application>Microsoft Office Word</Application>
  <DocSecurity>0</DocSecurity>
  <Lines>180</Lines>
  <Paragraphs>124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Magali GODIN</cp:lastModifiedBy>
  <cp:revision>3</cp:revision>
  <cp:lastPrinted>2020-05-05T13:58:00Z</cp:lastPrinted>
  <dcterms:created xsi:type="dcterms:W3CDTF">2021-05-06T08:14:00Z</dcterms:created>
  <dcterms:modified xsi:type="dcterms:W3CDTF">2021-05-06T08:30:00Z</dcterms:modified>
</cp:coreProperties>
</file>